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E0C8" w14:textId="0CFB741A" w:rsidR="0029614A" w:rsidRPr="001B3E5C" w:rsidRDefault="001B3E5C" w:rsidP="001B3E5C">
      <w:pPr>
        <w:jc w:val="center"/>
        <w:rPr>
          <w:rFonts w:ascii="Arial" w:hAnsi="Arial" w:cs="Arial"/>
          <w:b/>
          <w:bCs/>
          <w:sz w:val="24"/>
          <w:szCs w:val="24"/>
          <w:lang w:val="es-ES"/>
        </w:rPr>
      </w:pPr>
      <w:r w:rsidRPr="001B3E5C">
        <w:rPr>
          <w:rFonts w:ascii="Arial" w:hAnsi="Arial" w:cs="Arial"/>
          <w:b/>
          <w:bCs/>
          <w:sz w:val="24"/>
          <w:szCs w:val="24"/>
          <w:lang w:val="es-ES"/>
        </w:rPr>
        <w:t>DEPARTAMENTO ADMINISTRATVO DE LA FUNCION PÚBLICA</w:t>
      </w:r>
    </w:p>
    <w:p w14:paraId="49AE31D6" w14:textId="01642258" w:rsidR="001B3E5C" w:rsidRPr="001B3E5C" w:rsidRDefault="001B3E5C" w:rsidP="001B3E5C">
      <w:pPr>
        <w:jc w:val="center"/>
        <w:rPr>
          <w:rFonts w:ascii="Arial" w:hAnsi="Arial" w:cs="Arial"/>
          <w:b/>
          <w:bCs/>
          <w:sz w:val="24"/>
          <w:szCs w:val="24"/>
          <w:lang w:val="es-ES"/>
        </w:rPr>
      </w:pPr>
      <w:r w:rsidRPr="001B3E5C">
        <w:rPr>
          <w:rFonts w:ascii="Arial" w:hAnsi="Arial" w:cs="Arial"/>
          <w:b/>
          <w:bCs/>
          <w:sz w:val="24"/>
          <w:szCs w:val="24"/>
          <w:lang w:val="es-ES"/>
        </w:rPr>
        <w:t>CONCEPTO 070051</w:t>
      </w:r>
    </w:p>
    <w:p w14:paraId="620DC8BE"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 </w:t>
      </w:r>
    </w:p>
    <w:p w14:paraId="45DB0953" w14:textId="36AC7198" w:rsidR="001B3E5C" w:rsidRPr="001B3E5C" w:rsidRDefault="001B3E5C" w:rsidP="001B3E5C">
      <w:pPr>
        <w:jc w:val="both"/>
        <w:rPr>
          <w:rFonts w:ascii="Arial" w:hAnsi="Arial" w:cs="Arial"/>
          <w:sz w:val="24"/>
          <w:szCs w:val="24"/>
        </w:rPr>
      </w:pPr>
      <w:r w:rsidRPr="001B3E5C">
        <w:rPr>
          <w:rFonts w:ascii="Arial" w:hAnsi="Arial" w:cs="Arial"/>
          <w:b/>
          <w:bCs/>
          <w:sz w:val="24"/>
          <w:szCs w:val="24"/>
        </w:rPr>
        <w:t>REF: TEMA: EMPLEOS</w:t>
      </w:r>
      <w:r w:rsidRPr="001B3E5C">
        <w:rPr>
          <w:rFonts w:ascii="Arial" w:hAnsi="Arial" w:cs="Arial"/>
          <w:sz w:val="24"/>
          <w:szCs w:val="24"/>
        </w:rPr>
        <w:t>. SUBTEMA: Provisión de Empleos Ley de Garantías</w:t>
      </w:r>
      <w:proofErr w:type="gramStart"/>
      <w:r w:rsidRPr="001B3E5C">
        <w:rPr>
          <w:rFonts w:ascii="Arial" w:hAnsi="Arial" w:cs="Arial"/>
          <w:sz w:val="24"/>
          <w:szCs w:val="24"/>
        </w:rPr>
        <w:t>. .</w:t>
      </w:r>
      <w:proofErr w:type="gramEnd"/>
    </w:p>
    <w:p w14:paraId="78F1824A" w14:textId="108E99E8" w:rsidR="001B3E5C" w:rsidRPr="001B3E5C" w:rsidRDefault="001B3E5C" w:rsidP="001B3E5C">
      <w:pPr>
        <w:jc w:val="both"/>
        <w:rPr>
          <w:rFonts w:ascii="Arial" w:hAnsi="Arial" w:cs="Arial"/>
          <w:sz w:val="24"/>
          <w:szCs w:val="24"/>
        </w:rPr>
      </w:pPr>
      <w:r w:rsidRPr="001B3E5C">
        <w:rPr>
          <w:rFonts w:ascii="Arial" w:hAnsi="Arial" w:cs="Arial"/>
          <w:sz w:val="24"/>
          <w:szCs w:val="24"/>
        </w:rPr>
        <w:t> Reciba un cordial saludo por parte de la Función Pública.</w:t>
      </w:r>
    </w:p>
    <w:p w14:paraId="44722628" w14:textId="49B309E9" w:rsidR="001B3E5C" w:rsidRPr="001B3E5C" w:rsidRDefault="001B3E5C" w:rsidP="001B3E5C">
      <w:pPr>
        <w:jc w:val="both"/>
        <w:rPr>
          <w:rFonts w:ascii="Arial" w:hAnsi="Arial" w:cs="Arial"/>
          <w:sz w:val="24"/>
          <w:szCs w:val="24"/>
        </w:rPr>
      </w:pPr>
      <w:r w:rsidRPr="001B3E5C">
        <w:rPr>
          <w:rFonts w:ascii="Arial" w:hAnsi="Arial" w:cs="Arial"/>
          <w:sz w:val="24"/>
          <w:szCs w:val="24"/>
        </w:rPr>
        <w:t> Por medio del presente, en atención a la consulta en la cual señala: “De manera atenta me permito consultar lo siguiente: El día 28 de febrero de 2025 se pensiona un Servidor quien ocupa un cargo de Profesional Universitario Código 219 Grado 08 en Provisionalidad de la Planta Administrativa del Instituto Superior de Educación Rural ISER de Pamplona Norte de Santander, entidad Educativa que oferta programas Técnicos y Tecnológicos de orden Departamental, como este cargo que es de Naturaleza de Carrera Administrativa y queda en vacancia definitiva y para esa fecha ya estará la Ley de Garantías y por haberse pensionado quien ocupaba el cargo, La entidad podría entrar a realizar la vinculación de otra persona en Provisionalidad, en este caso no se estaría afectando la Planta ni la nómina puesto que el cargo ya está creado, pero si se requiere la vinculación para no afectar las diferentes actividades que se vienen desempañando.”, me permito manifestarle lo siguiente:</w:t>
      </w:r>
    </w:p>
    <w:p w14:paraId="1A5DFFF0" w14:textId="7490050F" w:rsidR="001B3E5C" w:rsidRPr="001B3E5C" w:rsidRDefault="001B3E5C" w:rsidP="001B3E5C">
      <w:pPr>
        <w:jc w:val="both"/>
        <w:rPr>
          <w:rFonts w:ascii="Arial" w:hAnsi="Arial" w:cs="Arial"/>
          <w:sz w:val="24"/>
          <w:szCs w:val="24"/>
        </w:rPr>
      </w:pPr>
      <w:r w:rsidRPr="001B3E5C">
        <w:rPr>
          <w:rFonts w:ascii="Arial" w:hAnsi="Arial" w:cs="Arial"/>
          <w:sz w:val="24"/>
          <w:szCs w:val="24"/>
        </w:rPr>
        <w:t> Al respecto es necesario indicarle primero, que de acuerdo con lo establecido en el Decreto 430 de 2016</w:t>
      </w:r>
      <w:r w:rsidRPr="001B3E5C">
        <w:rPr>
          <w:rFonts w:ascii="Arial" w:hAnsi="Arial" w:cs="Arial"/>
          <w:sz w:val="24"/>
          <w:szCs w:val="24"/>
          <w:vertAlign w:val="superscript"/>
        </w:rPr>
        <w:t>1</w:t>
      </w:r>
      <w:r w:rsidRPr="001B3E5C">
        <w:rPr>
          <w:rFonts w:ascii="Arial" w:hAnsi="Arial" w:cs="Arial"/>
          <w:sz w:val="24"/>
          <w:szCs w:val="24"/>
        </w:rPr>
        <w:t>, este Departamento Administrativo tiene como objeto el fortalecimiento de las capacidades de los servidores públicos y de las entidades y organismos del Estado, su organización y funcionamiento, el desarrollo de la democratización de la gestión pública y el servicio al ciudadano, mediante la formulación, implementación, seguimiento y evaluación de políticas públicas, la adopción de instrumentos técnicos y jurídicos, la asesoría y la capacitación, razón por la cual no es de su competencia pronunciarse sobre los procedimientos internos de una entidad pública.</w:t>
      </w:r>
    </w:p>
    <w:p w14:paraId="0FB89D94" w14:textId="541F1359"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 Por tanto, la resolución de los casos </w:t>
      </w:r>
      <w:proofErr w:type="gramStart"/>
      <w:r w:rsidRPr="001B3E5C">
        <w:rPr>
          <w:rFonts w:ascii="Arial" w:hAnsi="Arial" w:cs="Arial"/>
          <w:sz w:val="24"/>
          <w:szCs w:val="24"/>
        </w:rPr>
        <w:t>particulares,</w:t>
      </w:r>
      <w:proofErr w:type="gramEnd"/>
      <w:r w:rsidRPr="001B3E5C">
        <w:rPr>
          <w:rFonts w:ascii="Arial" w:hAnsi="Arial" w:cs="Arial"/>
          <w:sz w:val="24"/>
          <w:szCs w:val="24"/>
        </w:rPr>
        <w:t xml:space="preserve"> corresponderá en todos los casos a la autoridad empleadora y nominadora, en cuanto es la instancia que conoce de manera cierta y documentada la situación particular de su personal.</w:t>
      </w:r>
    </w:p>
    <w:p w14:paraId="6CB62AAA" w14:textId="473623C2" w:rsidR="001B3E5C" w:rsidRPr="001B3E5C" w:rsidRDefault="001B3E5C" w:rsidP="001B3E5C">
      <w:pPr>
        <w:jc w:val="both"/>
        <w:rPr>
          <w:rFonts w:ascii="Arial" w:hAnsi="Arial" w:cs="Arial"/>
          <w:sz w:val="24"/>
          <w:szCs w:val="24"/>
        </w:rPr>
      </w:pPr>
      <w:r w:rsidRPr="001B3E5C">
        <w:rPr>
          <w:rFonts w:ascii="Arial" w:hAnsi="Arial" w:cs="Arial"/>
          <w:sz w:val="24"/>
          <w:szCs w:val="24"/>
        </w:rPr>
        <w:t> De esta manera; no es de nuestra competencia intervenir en situaciones particulares, declarar ni negar derechos; intervenir en situaciones internas de las entidades, actuar como ente de control, investigación, o seguimiento, ni señalar los procedimientos o las implicaciones legales derivadas de sus actuaciones.</w:t>
      </w:r>
    </w:p>
    <w:p w14:paraId="238FB30C"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 </w:t>
      </w:r>
    </w:p>
    <w:p w14:paraId="5AD48D6D"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A efectos de resolver su inquietud debe analizarse en primer lugar lo consagrado en la Ley </w:t>
      </w:r>
      <w:hyperlink r:id="rId4" w:anchor="30" w:tooltip="vinculo" w:history="1">
        <w:r w:rsidRPr="001B3E5C">
          <w:rPr>
            <w:rStyle w:val="Hipervnculo"/>
            <w:rFonts w:ascii="Arial" w:hAnsi="Arial" w:cs="Arial"/>
            <w:sz w:val="24"/>
            <w:szCs w:val="24"/>
          </w:rPr>
          <w:t>30</w:t>
        </w:r>
      </w:hyperlink>
      <w:r w:rsidRPr="001B3E5C">
        <w:rPr>
          <w:rFonts w:ascii="Arial" w:hAnsi="Arial" w:cs="Arial"/>
          <w:sz w:val="24"/>
          <w:szCs w:val="24"/>
        </w:rPr>
        <w:t> de 1992, "Por la cual se organiza el servicio público de Educación Superior", la cual establece lo siguiente:</w:t>
      </w:r>
    </w:p>
    <w:p w14:paraId="3E1CCF47" w14:textId="0306AEEF" w:rsidR="001B3E5C" w:rsidRPr="001B3E5C" w:rsidRDefault="001B3E5C" w:rsidP="001B3E5C">
      <w:pPr>
        <w:jc w:val="both"/>
        <w:rPr>
          <w:rFonts w:ascii="Arial" w:hAnsi="Arial" w:cs="Arial"/>
          <w:sz w:val="24"/>
          <w:szCs w:val="24"/>
        </w:rPr>
      </w:pPr>
      <w:r w:rsidRPr="001B3E5C">
        <w:rPr>
          <w:rFonts w:ascii="Arial" w:hAnsi="Arial" w:cs="Arial"/>
          <w:sz w:val="24"/>
          <w:szCs w:val="24"/>
        </w:rPr>
        <w:lastRenderedPageBreak/>
        <w:t> </w:t>
      </w:r>
      <w:r w:rsidRPr="001B3E5C">
        <w:rPr>
          <w:rFonts w:ascii="Arial" w:hAnsi="Arial" w:cs="Arial"/>
          <w:i/>
          <w:iCs/>
          <w:sz w:val="24"/>
          <w:szCs w:val="24"/>
        </w:rPr>
        <w:t>" </w:t>
      </w:r>
      <w:r w:rsidRPr="001B3E5C">
        <w:rPr>
          <w:rFonts w:ascii="Arial" w:hAnsi="Arial" w:cs="Arial"/>
          <w:b/>
          <w:bCs/>
          <w:i/>
          <w:iCs/>
          <w:sz w:val="24"/>
          <w:szCs w:val="24"/>
        </w:rPr>
        <w:t>Artículo </w:t>
      </w:r>
      <w:hyperlink r:id="rId5" w:anchor="57" w:tooltip="vinculo" w:history="1">
        <w:r w:rsidRPr="001B3E5C">
          <w:rPr>
            <w:rStyle w:val="Hipervnculo"/>
            <w:rFonts w:ascii="Arial" w:hAnsi="Arial" w:cs="Arial"/>
            <w:b/>
            <w:bCs/>
            <w:i/>
            <w:iCs/>
            <w:sz w:val="24"/>
            <w:szCs w:val="24"/>
          </w:rPr>
          <w:t>57</w:t>
        </w:r>
      </w:hyperlink>
      <w:r w:rsidRPr="001B3E5C">
        <w:rPr>
          <w:rFonts w:ascii="Arial" w:hAnsi="Arial" w:cs="Arial"/>
          <w:b/>
          <w:bCs/>
          <w:i/>
          <w:iCs/>
          <w:sz w:val="24"/>
          <w:szCs w:val="24"/>
        </w:rPr>
        <w:t>. </w:t>
      </w:r>
      <w:r w:rsidRPr="001B3E5C">
        <w:rPr>
          <w:rFonts w:ascii="Arial" w:hAnsi="Arial" w:cs="Arial"/>
          <w:i/>
          <w:iCs/>
          <w:sz w:val="24"/>
          <w:szCs w:val="24"/>
          <w:u w:val="single"/>
        </w:rPr>
        <w:t>Las universidades estatales u oficiales deben organizarse como entes universitarios autónomos, con régimen especial</w:t>
      </w:r>
      <w:r w:rsidRPr="001B3E5C">
        <w:rPr>
          <w:rFonts w:ascii="Arial" w:hAnsi="Arial" w:cs="Arial"/>
          <w:i/>
          <w:iCs/>
          <w:sz w:val="24"/>
          <w:szCs w:val="24"/>
        </w:rPr>
        <w:t> y vinculados al Ministerio de Educación Nacional en lo que se refiere a las políticas y la planeación del sector educativo.</w:t>
      </w:r>
    </w:p>
    <w:p w14:paraId="672085E1" w14:textId="3271B80E" w:rsidR="001B3E5C" w:rsidRPr="001B3E5C" w:rsidRDefault="001B3E5C" w:rsidP="001B3E5C">
      <w:pPr>
        <w:jc w:val="both"/>
        <w:rPr>
          <w:rFonts w:ascii="Arial" w:hAnsi="Arial" w:cs="Arial"/>
          <w:sz w:val="24"/>
          <w:szCs w:val="24"/>
        </w:rPr>
      </w:pPr>
      <w:r w:rsidRPr="001B3E5C">
        <w:rPr>
          <w:rFonts w:ascii="Arial" w:hAnsi="Arial" w:cs="Arial"/>
          <w:i/>
          <w:iCs/>
          <w:sz w:val="24"/>
          <w:szCs w:val="24"/>
        </w:rPr>
        <w:t> (...)</w:t>
      </w:r>
    </w:p>
    <w:p w14:paraId="1C75009C" w14:textId="4FAEB187" w:rsidR="001B3E5C" w:rsidRPr="001B3E5C" w:rsidRDefault="001B3E5C" w:rsidP="001B3E5C">
      <w:pPr>
        <w:jc w:val="both"/>
        <w:rPr>
          <w:rFonts w:ascii="Arial" w:hAnsi="Arial" w:cs="Arial"/>
          <w:sz w:val="24"/>
          <w:szCs w:val="24"/>
        </w:rPr>
      </w:pPr>
      <w:r w:rsidRPr="001B3E5C">
        <w:rPr>
          <w:rFonts w:ascii="Arial" w:hAnsi="Arial" w:cs="Arial"/>
          <w:b/>
          <w:bCs/>
          <w:i/>
          <w:iCs/>
          <w:sz w:val="24"/>
          <w:szCs w:val="24"/>
        </w:rPr>
        <w:t> Parágrafo </w:t>
      </w:r>
      <w:hyperlink r:id="rId6" w:anchor="57p1" w:tooltip="vinculo" w:history="1">
        <w:r w:rsidRPr="001B3E5C">
          <w:rPr>
            <w:rStyle w:val="Hipervnculo"/>
            <w:rFonts w:ascii="Arial" w:hAnsi="Arial" w:cs="Arial"/>
            <w:b/>
            <w:bCs/>
            <w:i/>
            <w:iCs/>
            <w:sz w:val="24"/>
            <w:szCs w:val="24"/>
          </w:rPr>
          <w:t>1</w:t>
        </w:r>
      </w:hyperlink>
      <w:r w:rsidRPr="001B3E5C">
        <w:rPr>
          <w:rFonts w:ascii="Arial" w:hAnsi="Arial" w:cs="Arial"/>
          <w:b/>
          <w:bCs/>
          <w:i/>
          <w:iCs/>
          <w:sz w:val="24"/>
          <w:szCs w:val="24"/>
        </w:rPr>
        <w:t>°.</w:t>
      </w:r>
      <w:r w:rsidRPr="001B3E5C">
        <w:rPr>
          <w:rFonts w:ascii="Arial" w:hAnsi="Arial" w:cs="Arial"/>
          <w:i/>
          <w:iCs/>
          <w:sz w:val="24"/>
          <w:szCs w:val="24"/>
        </w:rPr>
        <w:t xml:space="preserve"> Las instituciones estatales u oficiales de Educación Superior que no tengan el carácter de universidad según lo previsto en la presente </w:t>
      </w:r>
      <w:proofErr w:type="gramStart"/>
      <w:r w:rsidRPr="001B3E5C">
        <w:rPr>
          <w:rFonts w:ascii="Arial" w:hAnsi="Arial" w:cs="Arial"/>
          <w:i/>
          <w:iCs/>
          <w:sz w:val="24"/>
          <w:szCs w:val="24"/>
        </w:rPr>
        <w:t>Ley,</w:t>
      </w:r>
      <w:proofErr w:type="gramEnd"/>
      <w:r w:rsidRPr="001B3E5C">
        <w:rPr>
          <w:rFonts w:ascii="Arial" w:hAnsi="Arial" w:cs="Arial"/>
          <w:i/>
          <w:iCs/>
          <w:sz w:val="24"/>
          <w:szCs w:val="24"/>
        </w:rPr>
        <w:t> </w:t>
      </w:r>
      <w:r w:rsidRPr="001B3E5C">
        <w:rPr>
          <w:rFonts w:ascii="Arial" w:hAnsi="Arial" w:cs="Arial"/>
          <w:i/>
          <w:iCs/>
          <w:sz w:val="24"/>
          <w:szCs w:val="24"/>
          <w:u w:val="single"/>
        </w:rPr>
        <w:t>deberán organizarse como Establecimientos Públicos del orden Nacional, Departamental, Distrital o Municipal</w:t>
      </w:r>
      <w:r w:rsidRPr="001B3E5C">
        <w:rPr>
          <w:rFonts w:ascii="Arial" w:hAnsi="Arial" w:cs="Arial"/>
          <w:i/>
          <w:iCs/>
          <w:sz w:val="24"/>
          <w:szCs w:val="24"/>
        </w:rPr>
        <w:t>. (...)"</w:t>
      </w:r>
      <w:r w:rsidRPr="001B3E5C">
        <w:rPr>
          <w:rFonts w:ascii="Arial" w:hAnsi="Arial" w:cs="Arial"/>
          <w:sz w:val="24"/>
          <w:szCs w:val="24"/>
        </w:rPr>
        <w:t> (Subrayado fuera de texto).</w:t>
      </w:r>
    </w:p>
    <w:p w14:paraId="0D196F6D" w14:textId="7BDD5A9C" w:rsidR="001B3E5C" w:rsidRPr="001B3E5C" w:rsidRDefault="001B3E5C" w:rsidP="001B3E5C">
      <w:pPr>
        <w:jc w:val="both"/>
        <w:rPr>
          <w:rFonts w:ascii="Arial" w:hAnsi="Arial" w:cs="Arial"/>
          <w:sz w:val="24"/>
          <w:szCs w:val="24"/>
        </w:rPr>
      </w:pPr>
      <w:r w:rsidRPr="001B3E5C">
        <w:rPr>
          <w:rFonts w:ascii="Arial" w:hAnsi="Arial" w:cs="Arial"/>
          <w:sz w:val="24"/>
          <w:szCs w:val="24"/>
        </w:rPr>
        <w:t> En ese orden de ideas, el servicio público de Educación Superior es prestado por el Estado a través de dos tipos diferentes de entidades públicas, a saber: los entes universitarios autónomos y los establecimientos públicos de educación superior del orden nacional, departamental, distrital o municipal.</w:t>
      </w:r>
    </w:p>
    <w:p w14:paraId="24E8960F" w14:textId="75EA1951" w:rsidR="001B3E5C" w:rsidRPr="001B3E5C" w:rsidRDefault="001B3E5C" w:rsidP="001B3E5C">
      <w:pPr>
        <w:jc w:val="both"/>
        <w:rPr>
          <w:rFonts w:ascii="Arial" w:hAnsi="Arial" w:cs="Arial"/>
          <w:sz w:val="24"/>
          <w:szCs w:val="24"/>
        </w:rPr>
      </w:pPr>
      <w:r w:rsidRPr="001B3E5C">
        <w:rPr>
          <w:rFonts w:ascii="Arial" w:hAnsi="Arial" w:cs="Arial"/>
          <w:sz w:val="24"/>
          <w:szCs w:val="24"/>
        </w:rPr>
        <w:t> Es así como, teniendo en cuenta lo establecido el Acuerdo 01 de 19892 aprobado por el Decreto </w:t>
      </w:r>
      <w:hyperlink r:id="rId7" w:anchor="1457" w:tooltip="vinculo" w:history="1">
        <w:r w:rsidRPr="001B3E5C">
          <w:rPr>
            <w:rStyle w:val="Hipervnculo"/>
            <w:rFonts w:ascii="Arial" w:hAnsi="Arial" w:cs="Arial"/>
            <w:sz w:val="24"/>
            <w:szCs w:val="24"/>
          </w:rPr>
          <w:t>1457</w:t>
        </w:r>
      </w:hyperlink>
      <w:r w:rsidRPr="001B3E5C">
        <w:rPr>
          <w:rFonts w:ascii="Arial" w:hAnsi="Arial" w:cs="Arial"/>
          <w:sz w:val="24"/>
          <w:szCs w:val="24"/>
        </w:rPr>
        <w:t> de 19893, respecto a la naturaleza jurídica del instituto objeto de su consulta:</w:t>
      </w:r>
    </w:p>
    <w:p w14:paraId="461C20C8" w14:textId="30DA2200" w:rsidR="001B3E5C" w:rsidRPr="001B3E5C" w:rsidRDefault="001B3E5C" w:rsidP="001B3E5C">
      <w:pPr>
        <w:jc w:val="both"/>
        <w:rPr>
          <w:rFonts w:ascii="Arial" w:hAnsi="Arial" w:cs="Arial"/>
          <w:sz w:val="24"/>
          <w:szCs w:val="24"/>
        </w:rPr>
      </w:pPr>
      <w:r w:rsidRPr="001B3E5C">
        <w:rPr>
          <w:rFonts w:ascii="Arial" w:hAnsi="Arial" w:cs="Arial"/>
          <w:sz w:val="24"/>
          <w:szCs w:val="24"/>
        </w:rPr>
        <w:t> </w:t>
      </w:r>
      <w:r w:rsidRPr="001B3E5C">
        <w:rPr>
          <w:rFonts w:ascii="Arial" w:hAnsi="Arial" w:cs="Arial"/>
          <w:i/>
          <w:iCs/>
          <w:sz w:val="24"/>
          <w:szCs w:val="24"/>
        </w:rPr>
        <w:t>“</w:t>
      </w:r>
      <w:r w:rsidRPr="001B3E5C">
        <w:rPr>
          <w:rFonts w:ascii="Arial" w:hAnsi="Arial" w:cs="Arial"/>
          <w:b/>
          <w:bCs/>
          <w:i/>
          <w:iCs/>
          <w:sz w:val="24"/>
          <w:szCs w:val="24"/>
        </w:rPr>
        <w:t>ARTÍCULO </w:t>
      </w:r>
      <w:hyperlink r:id="rId8" w:anchor="2" w:tooltip="vinculo" w:history="1">
        <w:r w:rsidRPr="001B3E5C">
          <w:rPr>
            <w:rStyle w:val="Hipervnculo"/>
            <w:rFonts w:ascii="Arial" w:hAnsi="Arial" w:cs="Arial"/>
            <w:b/>
            <w:bCs/>
            <w:i/>
            <w:iCs/>
            <w:sz w:val="24"/>
            <w:szCs w:val="24"/>
          </w:rPr>
          <w:t>2</w:t>
        </w:r>
      </w:hyperlink>
      <w:r w:rsidRPr="001B3E5C">
        <w:rPr>
          <w:rFonts w:ascii="Arial" w:hAnsi="Arial" w:cs="Arial"/>
          <w:b/>
          <w:bCs/>
          <w:i/>
          <w:iCs/>
          <w:sz w:val="24"/>
          <w:szCs w:val="24"/>
        </w:rPr>
        <w:t> NATURALEZA JURÍDICA Y DOMICILIO</w:t>
      </w:r>
      <w:r w:rsidRPr="001B3E5C">
        <w:rPr>
          <w:rFonts w:ascii="Arial" w:hAnsi="Arial" w:cs="Arial"/>
          <w:i/>
          <w:iCs/>
          <w:sz w:val="24"/>
          <w:szCs w:val="24"/>
        </w:rPr>
        <w:t>. El Instituto Superior de Educación Rural, ISER, creado por el Decreto-ley 2365 del 18 de septiembre de 1956, es un establecimiento público de carácter académico del orden nacional, con personería jurídica, autonomía administrativa y patrimonio independiente, adscrito al Ministerio de Educación Nacional, reorganizado de conformidad con los Decretos-ley 080 de 1980 y 758 de 1988 y los presentes estatutos, con domicilio en Pamplona, Norte de Santander.”</w:t>
      </w:r>
      <w:r w:rsidRPr="001B3E5C">
        <w:rPr>
          <w:rFonts w:ascii="Arial" w:hAnsi="Arial" w:cs="Arial"/>
          <w:sz w:val="24"/>
          <w:szCs w:val="24"/>
        </w:rPr>
        <w:t> (Subrayado fuera de texto).</w:t>
      </w:r>
    </w:p>
    <w:p w14:paraId="06163239" w14:textId="3B57314B" w:rsidR="001B3E5C" w:rsidRPr="001B3E5C" w:rsidRDefault="001B3E5C" w:rsidP="001B3E5C">
      <w:pPr>
        <w:jc w:val="both"/>
        <w:rPr>
          <w:rFonts w:ascii="Arial" w:hAnsi="Arial" w:cs="Arial"/>
          <w:sz w:val="24"/>
          <w:szCs w:val="24"/>
        </w:rPr>
      </w:pPr>
      <w:r w:rsidRPr="001B3E5C">
        <w:rPr>
          <w:rFonts w:ascii="Arial" w:hAnsi="Arial" w:cs="Arial"/>
          <w:sz w:val="24"/>
          <w:szCs w:val="24"/>
        </w:rPr>
        <w:t> </w:t>
      </w:r>
      <w:r w:rsidRPr="001B3E5C">
        <w:rPr>
          <w:rFonts w:ascii="Arial" w:hAnsi="Arial" w:cs="Arial"/>
          <w:sz w:val="24"/>
          <w:szCs w:val="24"/>
          <w:u w:val="single"/>
        </w:rPr>
        <w:t>El Instituto Superior de Educación Rural - ISER es un Establecimiento Público de Educación Superior el cual hace parte de la Rama Ejecutiva</w:t>
      </w:r>
      <w:r w:rsidRPr="001B3E5C">
        <w:rPr>
          <w:rFonts w:ascii="Arial" w:hAnsi="Arial" w:cs="Arial"/>
          <w:sz w:val="24"/>
          <w:szCs w:val="24"/>
        </w:rPr>
        <w:t> del sector descentralizado por servicios, según lo señalado en la Ley </w:t>
      </w:r>
      <w:hyperlink r:id="rId9" w:anchor="489" w:tooltip="vinculo" w:history="1">
        <w:r w:rsidRPr="001B3E5C">
          <w:rPr>
            <w:rStyle w:val="Hipervnculo"/>
            <w:rFonts w:ascii="Arial" w:hAnsi="Arial" w:cs="Arial"/>
            <w:sz w:val="24"/>
            <w:szCs w:val="24"/>
          </w:rPr>
          <w:t>489</w:t>
        </w:r>
      </w:hyperlink>
      <w:r w:rsidRPr="001B3E5C">
        <w:rPr>
          <w:rFonts w:ascii="Arial" w:hAnsi="Arial" w:cs="Arial"/>
          <w:sz w:val="24"/>
          <w:szCs w:val="24"/>
        </w:rPr>
        <w:t> de 1998</w:t>
      </w:r>
      <w:r w:rsidRPr="001B3E5C">
        <w:rPr>
          <w:rFonts w:ascii="Arial" w:hAnsi="Arial" w:cs="Arial"/>
          <w:sz w:val="24"/>
          <w:szCs w:val="24"/>
          <w:vertAlign w:val="superscript"/>
        </w:rPr>
        <w:t>4</w:t>
      </w:r>
      <w:r w:rsidRPr="001B3E5C">
        <w:rPr>
          <w:rFonts w:ascii="Arial" w:hAnsi="Arial" w:cs="Arial"/>
          <w:sz w:val="24"/>
          <w:szCs w:val="24"/>
        </w:rPr>
        <w:t>, así:</w:t>
      </w:r>
    </w:p>
    <w:p w14:paraId="13844BA9" w14:textId="1B0AD52D" w:rsidR="001B3E5C" w:rsidRPr="001B3E5C" w:rsidRDefault="001B3E5C" w:rsidP="001B3E5C">
      <w:pPr>
        <w:jc w:val="both"/>
        <w:rPr>
          <w:rFonts w:ascii="Arial" w:hAnsi="Arial" w:cs="Arial"/>
          <w:sz w:val="24"/>
          <w:szCs w:val="24"/>
        </w:rPr>
      </w:pPr>
      <w:r w:rsidRPr="001B3E5C">
        <w:rPr>
          <w:rFonts w:ascii="Arial" w:hAnsi="Arial" w:cs="Arial"/>
          <w:sz w:val="24"/>
          <w:szCs w:val="24"/>
        </w:rPr>
        <w:t> </w:t>
      </w:r>
      <w:r w:rsidRPr="001B3E5C">
        <w:rPr>
          <w:rFonts w:ascii="Arial" w:hAnsi="Arial" w:cs="Arial"/>
          <w:i/>
          <w:iCs/>
          <w:sz w:val="24"/>
          <w:szCs w:val="24"/>
        </w:rPr>
        <w:t>“</w:t>
      </w:r>
      <w:r w:rsidRPr="001B3E5C">
        <w:rPr>
          <w:rFonts w:ascii="Arial" w:hAnsi="Arial" w:cs="Arial"/>
          <w:b/>
          <w:bCs/>
          <w:i/>
          <w:iCs/>
          <w:sz w:val="24"/>
          <w:szCs w:val="24"/>
        </w:rPr>
        <w:t>ARTÍCULO </w:t>
      </w:r>
      <w:hyperlink r:id="rId10" w:anchor="38" w:tooltip="vinculo" w:history="1">
        <w:r w:rsidRPr="001B3E5C">
          <w:rPr>
            <w:rStyle w:val="Hipervnculo"/>
            <w:rFonts w:ascii="Arial" w:hAnsi="Arial" w:cs="Arial"/>
            <w:b/>
            <w:bCs/>
            <w:i/>
            <w:iCs/>
            <w:sz w:val="24"/>
            <w:szCs w:val="24"/>
          </w:rPr>
          <w:t>38</w:t>
        </w:r>
      </w:hyperlink>
      <w:r w:rsidRPr="001B3E5C">
        <w:rPr>
          <w:rFonts w:ascii="Arial" w:hAnsi="Arial" w:cs="Arial"/>
          <w:b/>
          <w:bCs/>
          <w:i/>
          <w:iCs/>
          <w:sz w:val="24"/>
          <w:szCs w:val="24"/>
        </w:rPr>
        <w:t>. INTEGRACIÓN DE LA RAMA EJECUTIVA DEL PODER PÚBLICO EN EL ORDEN NACIONAL.</w:t>
      </w:r>
      <w:r w:rsidRPr="001B3E5C">
        <w:rPr>
          <w:rFonts w:ascii="Arial" w:hAnsi="Arial" w:cs="Arial"/>
          <w:i/>
          <w:iCs/>
          <w:sz w:val="24"/>
          <w:szCs w:val="24"/>
        </w:rPr>
        <w:t> La Rama Ejecutiva del Poder Público en el orden nacional, está integrada por los siguientes organismos y entidades: (...)</w:t>
      </w:r>
    </w:p>
    <w:p w14:paraId="3B6A22DD" w14:textId="77777777" w:rsidR="001B3E5C" w:rsidRDefault="001B3E5C" w:rsidP="001B3E5C">
      <w:pPr>
        <w:jc w:val="both"/>
        <w:rPr>
          <w:rFonts w:ascii="Arial" w:hAnsi="Arial" w:cs="Arial"/>
          <w:i/>
          <w:iCs/>
          <w:sz w:val="24"/>
          <w:szCs w:val="24"/>
        </w:rPr>
      </w:pPr>
      <w:r w:rsidRPr="001B3E5C">
        <w:rPr>
          <w:rFonts w:ascii="Arial" w:hAnsi="Arial" w:cs="Arial"/>
          <w:i/>
          <w:iCs/>
          <w:sz w:val="24"/>
          <w:szCs w:val="24"/>
        </w:rPr>
        <w:t> </w:t>
      </w:r>
    </w:p>
    <w:p w14:paraId="6D0AF7E7" w14:textId="77777777" w:rsidR="001B3E5C" w:rsidRDefault="001B3E5C" w:rsidP="001B3E5C">
      <w:pPr>
        <w:jc w:val="both"/>
        <w:rPr>
          <w:rFonts w:ascii="Arial" w:hAnsi="Arial" w:cs="Arial"/>
          <w:i/>
          <w:iCs/>
          <w:sz w:val="24"/>
          <w:szCs w:val="24"/>
        </w:rPr>
      </w:pPr>
    </w:p>
    <w:p w14:paraId="0944E8FB" w14:textId="77777777" w:rsidR="001B3E5C" w:rsidRDefault="001B3E5C" w:rsidP="001B3E5C">
      <w:pPr>
        <w:jc w:val="both"/>
        <w:rPr>
          <w:rFonts w:ascii="Arial" w:hAnsi="Arial" w:cs="Arial"/>
          <w:i/>
          <w:iCs/>
          <w:sz w:val="24"/>
          <w:szCs w:val="24"/>
        </w:rPr>
      </w:pPr>
    </w:p>
    <w:p w14:paraId="34056DAD" w14:textId="77777777" w:rsidR="001B3E5C" w:rsidRDefault="001B3E5C" w:rsidP="001B3E5C">
      <w:pPr>
        <w:jc w:val="both"/>
        <w:rPr>
          <w:rFonts w:ascii="Arial" w:hAnsi="Arial" w:cs="Arial"/>
          <w:i/>
          <w:iCs/>
          <w:sz w:val="24"/>
          <w:szCs w:val="24"/>
        </w:rPr>
      </w:pPr>
    </w:p>
    <w:p w14:paraId="10FAC3DC" w14:textId="33AAA194" w:rsidR="001B3E5C" w:rsidRPr="001B3E5C" w:rsidRDefault="001B3E5C" w:rsidP="001B3E5C">
      <w:pPr>
        <w:jc w:val="both"/>
        <w:rPr>
          <w:rFonts w:ascii="Arial" w:hAnsi="Arial" w:cs="Arial"/>
          <w:sz w:val="24"/>
          <w:szCs w:val="24"/>
        </w:rPr>
      </w:pPr>
      <w:r w:rsidRPr="001B3E5C">
        <w:rPr>
          <w:rFonts w:ascii="Arial" w:hAnsi="Arial" w:cs="Arial"/>
          <w:i/>
          <w:iCs/>
          <w:sz w:val="24"/>
          <w:szCs w:val="24"/>
        </w:rPr>
        <w:t>Del Sector descentralizado por servicios:</w:t>
      </w:r>
    </w:p>
    <w:p w14:paraId="34ECA05E" w14:textId="678A8707" w:rsidR="001B3E5C" w:rsidRPr="001B3E5C" w:rsidRDefault="001B3E5C" w:rsidP="001B3E5C">
      <w:pPr>
        <w:jc w:val="both"/>
        <w:rPr>
          <w:rFonts w:ascii="Arial" w:hAnsi="Arial" w:cs="Arial"/>
          <w:sz w:val="24"/>
          <w:szCs w:val="24"/>
        </w:rPr>
      </w:pPr>
      <w:r w:rsidRPr="001B3E5C">
        <w:rPr>
          <w:rFonts w:ascii="Arial" w:hAnsi="Arial" w:cs="Arial"/>
          <w:i/>
          <w:iCs/>
          <w:sz w:val="24"/>
          <w:szCs w:val="24"/>
        </w:rPr>
        <w:t> a) Los establecimientos públicos; (...)”</w:t>
      </w:r>
    </w:p>
    <w:p w14:paraId="11654559" w14:textId="556487AE" w:rsidR="001B3E5C" w:rsidRPr="001B3E5C" w:rsidRDefault="001B3E5C" w:rsidP="001B3E5C">
      <w:pPr>
        <w:jc w:val="both"/>
        <w:rPr>
          <w:rFonts w:ascii="Arial" w:hAnsi="Arial" w:cs="Arial"/>
          <w:sz w:val="24"/>
          <w:szCs w:val="24"/>
        </w:rPr>
      </w:pPr>
      <w:r w:rsidRPr="001B3E5C">
        <w:rPr>
          <w:rFonts w:ascii="Arial" w:hAnsi="Arial" w:cs="Arial"/>
          <w:sz w:val="24"/>
          <w:szCs w:val="24"/>
        </w:rPr>
        <w:lastRenderedPageBreak/>
        <w:t> Así las cosas, podemos concluir que los establecimientos públicos que funcionen como instituciones de educación superior se constituyen como entidades públicas que hacen parte de la Rama ejecutiva del sector descentralizado por servicios ya sea en el orden nacional o territorial, según corresponda; se sujetan a las reglas señaladas en la Constitución política, en la Ley </w:t>
      </w:r>
      <w:hyperlink r:id="rId11" w:anchor="489" w:tooltip="vinculo" w:history="1">
        <w:r w:rsidRPr="001B3E5C">
          <w:rPr>
            <w:rStyle w:val="Hipervnculo"/>
            <w:rFonts w:ascii="Arial" w:hAnsi="Arial" w:cs="Arial"/>
            <w:sz w:val="24"/>
            <w:szCs w:val="24"/>
          </w:rPr>
          <w:t>489</w:t>
        </w:r>
      </w:hyperlink>
      <w:r w:rsidRPr="001B3E5C">
        <w:rPr>
          <w:rFonts w:ascii="Arial" w:hAnsi="Arial" w:cs="Arial"/>
          <w:sz w:val="24"/>
          <w:szCs w:val="24"/>
        </w:rPr>
        <w:t> de 1998, en las leyes que las creen y determinen su estructura orgánica y en sus estatutos internos.</w:t>
      </w:r>
    </w:p>
    <w:p w14:paraId="37D5CF99" w14:textId="50631D93" w:rsidR="001B3E5C" w:rsidRPr="001B3E5C" w:rsidRDefault="001B3E5C" w:rsidP="001B3E5C">
      <w:pPr>
        <w:jc w:val="both"/>
        <w:rPr>
          <w:rFonts w:ascii="Arial" w:hAnsi="Arial" w:cs="Arial"/>
          <w:sz w:val="24"/>
          <w:szCs w:val="24"/>
        </w:rPr>
      </w:pPr>
      <w:r w:rsidRPr="001B3E5C">
        <w:rPr>
          <w:rFonts w:ascii="Arial" w:hAnsi="Arial" w:cs="Arial"/>
          <w:sz w:val="24"/>
          <w:szCs w:val="24"/>
        </w:rPr>
        <w:t> De otra parte, La Ley </w:t>
      </w:r>
      <w:hyperlink r:id="rId12" w:anchor="996" w:tooltip="vinculo" w:history="1">
        <w:r w:rsidRPr="001B3E5C">
          <w:rPr>
            <w:rStyle w:val="Hipervnculo"/>
            <w:rFonts w:ascii="Arial" w:hAnsi="Arial" w:cs="Arial"/>
            <w:sz w:val="24"/>
            <w:szCs w:val="24"/>
          </w:rPr>
          <w:t>996</w:t>
        </w:r>
      </w:hyperlink>
      <w:r w:rsidRPr="001B3E5C">
        <w:rPr>
          <w:rFonts w:ascii="Arial" w:hAnsi="Arial" w:cs="Arial"/>
          <w:sz w:val="24"/>
          <w:szCs w:val="24"/>
        </w:rPr>
        <w:t> de 2005</w:t>
      </w:r>
      <w:r w:rsidRPr="001B3E5C">
        <w:rPr>
          <w:rFonts w:ascii="Arial" w:hAnsi="Arial" w:cs="Arial"/>
          <w:sz w:val="24"/>
          <w:szCs w:val="24"/>
          <w:vertAlign w:val="superscript"/>
        </w:rPr>
        <w:t>5</w:t>
      </w:r>
      <w:r w:rsidRPr="001B3E5C">
        <w:rPr>
          <w:rFonts w:ascii="Arial" w:hAnsi="Arial" w:cs="Arial"/>
          <w:sz w:val="24"/>
          <w:szCs w:val="24"/>
        </w:rPr>
        <w:t xml:space="preserve">, (Ley de Garantías), que tiene por objetivo garantizar la transparencia en los </w:t>
      </w:r>
      <w:proofErr w:type="gramStart"/>
      <w:r w:rsidRPr="001B3E5C">
        <w:rPr>
          <w:rFonts w:ascii="Arial" w:hAnsi="Arial" w:cs="Arial"/>
          <w:sz w:val="24"/>
          <w:szCs w:val="24"/>
        </w:rPr>
        <w:t>comicios electorales</w:t>
      </w:r>
      <w:proofErr w:type="gramEnd"/>
      <w:r w:rsidRPr="001B3E5C">
        <w:rPr>
          <w:rFonts w:ascii="Arial" w:hAnsi="Arial" w:cs="Arial"/>
          <w:sz w:val="24"/>
          <w:szCs w:val="24"/>
        </w:rPr>
        <w:t>, establece limitaciones a la vinculación de personal a las entidades y por regla general se aplica a todas las Entidades del Estado, señaló en los artículos 32 y 38, lo siguiente:</w:t>
      </w:r>
    </w:p>
    <w:p w14:paraId="65EBEED7" w14:textId="057263BA" w:rsidR="001B3E5C" w:rsidRPr="001B3E5C" w:rsidRDefault="001B3E5C" w:rsidP="001B3E5C">
      <w:pPr>
        <w:jc w:val="both"/>
        <w:rPr>
          <w:rFonts w:ascii="Arial" w:hAnsi="Arial" w:cs="Arial"/>
          <w:sz w:val="24"/>
          <w:szCs w:val="24"/>
        </w:rPr>
      </w:pPr>
      <w:r w:rsidRPr="001B3E5C">
        <w:rPr>
          <w:rFonts w:ascii="Arial" w:hAnsi="Arial" w:cs="Arial"/>
          <w:sz w:val="24"/>
          <w:szCs w:val="24"/>
        </w:rPr>
        <w:t> </w:t>
      </w:r>
      <w:r w:rsidRPr="001B3E5C">
        <w:rPr>
          <w:rFonts w:ascii="Arial" w:hAnsi="Arial" w:cs="Arial"/>
          <w:i/>
          <w:iCs/>
          <w:sz w:val="24"/>
          <w:szCs w:val="24"/>
        </w:rPr>
        <w:t>“</w:t>
      </w:r>
      <w:r w:rsidRPr="001B3E5C">
        <w:rPr>
          <w:rFonts w:ascii="Arial" w:hAnsi="Arial" w:cs="Arial"/>
          <w:b/>
          <w:bCs/>
          <w:i/>
          <w:iCs/>
          <w:sz w:val="24"/>
          <w:szCs w:val="24"/>
        </w:rPr>
        <w:t>ARTÍCULO </w:t>
      </w:r>
      <w:hyperlink r:id="rId13" w:anchor="32" w:tooltip="vinculo" w:history="1">
        <w:r w:rsidRPr="001B3E5C">
          <w:rPr>
            <w:rStyle w:val="Hipervnculo"/>
            <w:rFonts w:ascii="Arial" w:hAnsi="Arial" w:cs="Arial"/>
            <w:b/>
            <w:bCs/>
            <w:i/>
            <w:iCs/>
            <w:sz w:val="24"/>
            <w:szCs w:val="24"/>
          </w:rPr>
          <w:t>32</w:t>
        </w:r>
      </w:hyperlink>
      <w:r w:rsidRPr="001B3E5C">
        <w:rPr>
          <w:rFonts w:ascii="Arial" w:hAnsi="Arial" w:cs="Arial"/>
          <w:b/>
          <w:bCs/>
          <w:i/>
          <w:iCs/>
          <w:sz w:val="24"/>
          <w:szCs w:val="24"/>
        </w:rPr>
        <w:t>.</w:t>
      </w:r>
      <w:r w:rsidRPr="001B3E5C">
        <w:rPr>
          <w:rFonts w:ascii="Arial" w:hAnsi="Arial" w:cs="Arial"/>
          <w:i/>
          <w:iCs/>
          <w:sz w:val="24"/>
          <w:szCs w:val="24"/>
        </w:rPr>
        <w:t> Vinculación a la nómina estatal. Se suspenderá cualquier forma de vinculación que afecte la nómina estatal, en la Rama Ejecutiva del Poder Público, durante los cuatro (4) meses anteriores a la elección presidencial y hasta la realización de la segunda vuelta, si fuere el caso. Se exceptúan de la presente disposición, los casos a que se refiere el inciso segundo del artículo siguiente.</w:t>
      </w:r>
    </w:p>
    <w:p w14:paraId="7323D3E9" w14:textId="77777777" w:rsidR="001B3E5C" w:rsidRPr="001B3E5C" w:rsidRDefault="001B3E5C" w:rsidP="001B3E5C">
      <w:pPr>
        <w:jc w:val="both"/>
        <w:rPr>
          <w:rFonts w:ascii="Arial" w:hAnsi="Arial" w:cs="Arial"/>
          <w:sz w:val="24"/>
          <w:szCs w:val="24"/>
        </w:rPr>
      </w:pPr>
      <w:hyperlink r:id="rId14" w:anchor="32p" w:tooltip="vinculo" w:history="1">
        <w:r w:rsidRPr="001B3E5C">
          <w:rPr>
            <w:rStyle w:val="Hipervnculo"/>
            <w:rFonts w:ascii="Arial" w:hAnsi="Arial" w:cs="Arial"/>
            <w:b/>
            <w:bCs/>
            <w:i/>
            <w:iCs/>
            <w:sz w:val="24"/>
            <w:szCs w:val="24"/>
          </w:rPr>
          <w:t>PARÁGRAFO</w:t>
        </w:r>
      </w:hyperlink>
      <w:r w:rsidRPr="001B3E5C">
        <w:rPr>
          <w:rFonts w:ascii="Arial" w:hAnsi="Arial" w:cs="Arial"/>
          <w:b/>
          <w:bCs/>
          <w:i/>
          <w:iCs/>
          <w:sz w:val="24"/>
          <w:szCs w:val="24"/>
        </w:rPr>
        <w:t>.</w:t>
      </w:r>
      <w:r w:rsidRPr="001B3E5C">
        <w:rPr>
          <w:rFonts w:ascii="Arial" w:hAnsi="Arial" w:cs="Arial"/>
          <w:i/>
          <w:iCs/>
          <w:sz w:val="24"/>
          <w:szCs w:val="24"/>
        </w:rPr>
        <w:t> Para efectos de proveer el personal supernumerario que requiera la Organización Electoral, la Registraduría organizará los procesos de selección y vinculación de manera objetiva a través de concursos públicos de méritos”.</w:t>
      </w:r>
    </w:p>
    <w:p w14:paraId="5C1FA745" w14:textId="156DC112" w:rsidR="001B3E5C" w:rsidRPr="001B3E5C" w:rsidRDefault="001B3E5C" w:rsidP="001B3E5C">
      <w:pPr>
        <w:jc w:val="both"/>
        <w:rPr>
          <w:rFonts w:ascii="Arial" w:hAnsi="Arial" w:cs="Arial"/>
          <w:sz w:val="24"/>
          <w:szCs w:val="24"/>
        </w:rPr>
      </w:pPr>
      <w:r w:rsidRPr="001B3E5C">
        <w:rPr>
          <w:rFonts w:ascii="Arial" w:hAnsi="Arial" w:cs="Arial"/>
          <w:i/>
          <w:iCs/>
          <w:sz w:val="24"/>
          <w:szCs w:val="24"/>
        </w:rPr>
        <w:t> </w:t>
      </w:r>
      <w:r w:rsidRPr="001B3E5C">
        <w:rPr>
          <w:rFonts w:ascii="Arial" w:hAnsi="Arial" w:cs="Arial"/>
          <w:b/>
          <w:bCs/>
          <w:i/>
          <w:iCs/>
          <w:sz w:val="24"/>
          <w:szCs w:val="24"/>
        </w:rPr>
        <w:t>ARTÍCULO </w:t>
      </w:r>
      <w:hyperlink r:id="rId15" w:anchor="33" w:tooltip="vinculo" w:history="1">
        <w:r w:rsidRPr="001B3E5C">
          <w:rPr>
            <w:rStyle w:val="Hipervnculo"/>
            <w:rFonts w:ascii="Arial" w:hAnsi="Arial" w:cs="Arial"/>
            <w:b/>
            <w:bCs/>
            <w:i/>
            <w:iCs/>
            <w:sz w:val="24"/>
            <w:szCs w:val="24"/>
          </w:rPr>
          <w:t>33</w:t>
        </w:r>
      </w:hyperlink>
      <w:r w:rsidRPr="001B3E5C">
        <w:rPr>
          <w:rFonts w:ascii="Arial" w:hAnsi="Arial" w:cs="Arial"/>
          <w:b/>
          <w:bCs/>
          <w:i/>
          <w:iCs/>
          <w:sz w:val="24"/>
          <w:szCs w:val="24"/>
        </w:rPr>
        <w:t>.</w:t>
      </w:r>
      <w:r w:rsidRPr="001B3E5C">
        <w:rPr>
          <w:rFonts w:ascii="Arial" w:hAnsi="Arial" w:cs="Arial"/>
          <w:i/>
          <w:iCs/>
          <w:sz w:val="24"/>
          <w:szCs w:val="24"/>
        </w:rPr>
        <w:t> Restricciones a la contratación pública. Durante los cuatro (4) meses anteriores a la elección presidencial y hasta la realización de la elección en la segunda vuelta, si fuere el caso, queda prohibida la contratación directa por parte de todos los entes del Estado.</w:t>
      </w:r>
    </w:p>
    <w:p w14:paraId="34958EC4" w14:textId="2E947D2C" w:rsidR="001B3E5C" w:rsidRPr="001B3E5C" w:rsidRDefault="001B3E5C" w:rsidP="001B3E5C">
      <w:pPr>
        <w:jc w:val="both"/>
        <w:rPr>
          <w:rFonts w:ascii="Arial" w:hAnsi="Arial" w:cs="Arial"/>
          <w:sz w:val="24"/>
          <w:szCs w:val="24"/>
        </w:rPr>
      </w:pPr>
      <w:r w:rsidRPr="001B3E5C">
        <w:rPr>
          <w:rFonts w:ascii="Arial" w:hAnsi="Arial" w:cs="Arial"/>
          <w:i/>
          <w:iCs/>
          <w:sz w:val="24"/>
          <w:szCs w:val="24"/>
        </w:rPr>
        <w:t> Queda exceptuado 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 sastres naturales o casos de fuerza mayor, y los que deban realizar las entidades sanitarias y hospitalarias. Adicionalmente se exceptúan aquellos gastos inaplazables e imprescindibles que afecten el normal funcionamiento de la administración.”</w:t>
      </w:r>
    </w:p>
    <w:p w14:paraId="62FE0C17" w14:textId="1192CC37" w:rsidR="001B3E5C" w:rsidRPr="001B3E5C" w:rsidRDefault="001B3E5C" w:rsidP="001B3E5C">
      <w:pPr>
        <w:jc w:val="both"/>
        <w:rPr>
          <w:rFonts w:ascii="Arial" w:hAnsi="Arial" w:cs="Arial"/>
          <w:sz w:val="24"/>
          <w:szCs w:val="24"/>
        </w:rPr>
      </w:pPr>
      <w:r w:rsidRPr="001B3E5C">
        <w:rPr>
          <w:rFonts w:ascii="Arial" w:hAnsi="Arial" w:cs="Arial"/>
          <w:sz w:val="24"/>
          <w:szCs w:val="24"/>
        </w:rPr>
        <w:t> Conforme a los artículos transcritos, está prohibida cualquier forma de vinculación que afecte la nómina estatal en la Rama Ejecutiva del Poder público durante los cuatro meses anteriores a la elección presidencial y hasta la realización de la segunda vuelta.</w:t>
      </w:r>
    </w:p>
    <w:p w14:paraId="25C8422F" w14:textId="77777777" w:rsidR="001B3E5C" w:rsidRDefault="001B3E5C" w:rsidP="001B3E5C">
      <w:pPr>
        <w:jc w:val="both"/>
        <w:rPr>
          <w:rFonts w:ascii="Arial" w:hAnsi="Arial" w:cs="Arial"/>
          <w:sz w:val="24"/>
          <w:szCs w:val="24"/>
        </w:rPr>
      </w:pPr>
      <w:r w:rsidRPr="001B3E5C">
        <w:rPr>
          <w:rFonts w:ascii="Arial" w:hAnsi="Arial" w:cs="Arial"/>
          <w:sz w:val="24"/>
          <w:szCs w:val="24"/>
        </w:rPr>
        <w:t> </w:t>
      </w:r>
    </w:p>
    <w:p w14:paraId="238B6776" w14:textId="77777777" w:rsidR="001B3E5C" w:rsidRDefault="001B3E5C" w:rsidP="001B3E5C">
      <w:pPr>
        <w:jc w:val="both"/>
        <w:rPr>
          <w:rFonts w:ascii="Arial" w:hAnsi="Arial" w:cs="Arial"/>
          <w:sz w:val="24"/>
          <w:szCs w:val="24"/>
        </w:rPr>
      </w:pPr>
    </w:p>
    <w:p w14:paraId="275ED5EA" w14:textId="77777777" w:rsidR="001B3E5C" w:rsidRDefault="001B3E5C" w:rsidP="001B3E5C">
      <w:pPr>
        <w:jc w:val="both"/>
        <w:rPr>
          <w:rFonts w:ascii="Arial" w:hAnsi="Arial" w:cs="Arial"/>
          <w:sz w:val="24"/>
          <w:szCs w:val="24"/>
        </w:rPr>
      </w:pPr>
    </w:p>
    <w:p w14:paraId="18956C96" w14:textId="360CE2A0" w:rsidR="001B3E5C" w:rsidRPr="001B3E5C" w:rsidRDefault="001B3E5C" w:rsidP="001B3E5C">
      <w:pPr>
        <w:jc w:val="both"/>
        <w:rPr>
          <w:rFonts w:ascii="Arial" w:hAnsi="Arial" w:cs="Arial"/>
          <w:sz w:val="24"/>
          <w:szCs w:val="24"/>
        </w:rPr>
      </w:pPr>
      <w:r w:rsidRPr="001B3E5C">
        <w:rPr>
          <w:rFonts w:ascii="Arial" w:hAnsi="Arial" w:cs="Arial"/>
          <w:sz w:val="24"/>
          <w:szCs w:val="24"/>
        </w:rPr>
        <w:t>Por lo tanto, durante dicho término:</w:t>
      </w:r>
    </w:p>
    <w:p w14:paraId="6566D637" w14:textId="486B0C95" w:rsidR="001B3E5C" w:rsidRPr="001B3E5C" w:rsidRDefault="001B3E5C" w:rsidP="001B3E5C">
      <w:pPr>
        <w:jc w:val="both"/>
        <w:rPr>
          <w:rFonts w:ascii="Arial" w:hAnsi="Arial" w:cs="Arial"/>
          <w:sz w:val="24"/>
          <w:szCs w:val="24"/>
        </w:rPr>
      </w:pPr>
      <w:r w:rsidRPr="001B3E5C">
        <w:rPr>
          <w:rFonts w:ascii="Arial" w:hAnsi="Arial" w:cs="Arial"/>
          <w:sz w:val="24"/>
          <w:szCs w:val="24"/>
        </w:rPr>
        <w:lastRenderedPageBreak/>
        <w:t> - No se podrá modificar la nómina estatal, es decir, no es procedente crear cargos ni proveer los mismos, ni retirar del servicio a servidores públicos por declaratoria de insubsistencia del nombramiento.</w:t>
      </w:r>
    </w:p>
    <w:p w14:paraId="4AB32027" w14:textId="4DCE7F54" w:rsidR="001B3E5C" w:rsidRPr="001B3E5C" w:rsidRDefault="001B3E5C" w:rsidP="001B3E5C">
      <w:pPr>
        <w:jc w:val="both"/>
        <w:rPr>
          <w:rFonts w:ascii="Arial" w:hAnsi="Arial" w:cs="Arial"/>
          <w:sz w:val="24"/>
          <w:szCs w:val="24"/>
        </w:rPr>
      </w:pPr>
      <w:r w:rsidRPr="001B3E5C">
        <w:rPr>
          <w:rFonts w:ascii="Arial" w:hAnsi="Arial" w:cs="Arial"/>
          <w:sz w:val="24"/>
          <w:szCs w:val="24"/>
        </w:rPr>
        <w:t> - No se podrán hacer nuevos nombramientos salvo que se trate de solventar situaciones tales como: renuncias, licencias o muerte cuya provisión sea indispensable para el cabal funcionamiento de la Administración Pública, o cuando se trate de la designación de servidores públicos en cargos de carrera por el sistema de concurso público de méritos, caso en el cual procede el nombramiento en período de prueba o por encargo.</w:t>
      </w:r>
    </w:p>
    <w:p w14:paraId="7F032BD0" w14:textId="05F79322" w:rsidR="001B3E5C" w:rsidRPr="001B3E5C" w:rsidRDefault="001B3E5C" w:rsidP="001B3E5C">
      <w:pPr>
        <w:jc w:val="both"/>
        <w:rPr>
          <w:rFonts w:ascii="Arial" w:hAnsi="Arial" w:cs="Arial"/>
          <w:sz w:val="24"/>
          <w:szCs w:val="24"/>
        </w:rPr>
      </w:pPr>
      <w:r w:rsidRPr="001B3E5C">
        <w:rPr>
          <w:rFonts w:ascii="Arial" w:hAnsi="Arial" w:cs="Arial"/>
          <w:sz w:val="24"/>
          <w:szCs w:val="24"/>
        </w:rPr>
        <w:t> En cuanto a la interpretación de esta norma, es importante remitirse a lo expresado por la Corte Constitucional mediante la sentencia C-1153 de 2005, frente al alcance de las prohibiciones y restricciones de provisión de empleos contenidos en la Ley </w:t>
      </w:r>
      <w:hyperlink r:id="rId16" w:anchor="996" w:tooltip="vinculo" w:history="1">
        <w:r w:rsidRPr="001B3E5C">
          <w:rPr>
            <w:rStyle w:val="Hipervnculo"/>
            <w:rFonts w:ascii="Arial" w:hAnsi="Arial" w:cs="Arial"/>
            <w:sz w:val="24"/>
            <w:szCs w:val="24"/>
          </w:rPr>
          <w:t>996</w:t>
        </w:r>
      </w:hyperlink>
      <w:r w:rsidRPr="001B3E5C">
        <w:rPr>
          <w:rFonts w:ascii="Arial" w:hAnsi="Arial" w:cs="Arial"/>
          <w:sz w:val="24"/>
          <w:szCs w:val="24"/>
        </w:rPr>
        <w:t> de 2005, en la cual expresó:</w:t>
      </w:r>
    </w:p>
    <w:p w14:paraId="2F40A29A" w14:textId="05D43C1F" w:rsidR="001B3E5C" w:rsidRPr="001B3E5C" w:rsidRDefault="001B3E5C" w:rsidP="001B3E5C">
      <w:pPr>
        <w:jc w:val="both"/>
        <w:rPr>
          <w:rFonts w:ascii="Arial" w:hAnsi="Arial" w:cs="Arial"/>
          <w:sz w:val="24"/>
          <w:szCs w:val="24"/>
        </w:rPr>
      </w:pPr>
      <w:r w:rsidRPr="001B3E5C">
        <w:rPr>
          <w:rFonts w:ascii="Arial" w:hAnsi="Arial" w:cs="Arial"/>
          <w:sz w:val="24"/>
          <w:szCs w:val="24"/>
        </w:rPr>
        <w:t> </w:t>
      </w:r>
      <w:r w:rsidRPr="001B3E5C">
        <w:rPr>
          <w:rFonts w:ascii="Arial" w:hAnsi="Arial" w:cs="Arial"/>
          <w:i/>
          <w:iCs/>
          <w:sz w:val="24"/>
          <w:szCs w:val="24"/>
        </w:rPr>
        <w:t xml:space="preserve">“De otra parte, para la Sala el inciso primero se ajusta a la Constitución, pues la suspensión de las vinculaciones que afecten a la nómina estatal durante el periodo en que el candidato </w:t>
      </w:r>
      <w:proofErr w:type="gramStart"/>
      <w:r w:rsidRPr="001B3E5C">
        <w:rPr>
          <w:rFonts w:ascii="Arial" w:hAnsi="Arial" w:cs="Arial"/>
          <w:i/>
          <w:iCs/>
          <w:sz w:val="24"/>
          <w:szCs w:val="24"/>
        </w:rPr>
        <w:t>Presidente</w:t>
      </w:r>
      <w:proofErr w:type="gramEnd"/>
      <w:r w:rsidRPr="001B3E5C">
        <w:rPr>
          <w:rFonts w:ascii="Arial" w:hAnsi="Arial" w:cs="Arial"/>
          <w:i/>
          <w:iCs/>
          <w:sz w:val="24"/>
          <w:szCs w:val="24"/>
        </w:rPr>
        <w:t xml:space="preserve"> puede estar en campaña electoral sí es garantía de una mayor equidad de condiciones entre este candidato y los demás aspirantes a la presidencia de la República, en cuanto a través de esas vinculaciones se pueden buscar favores políticos.</w:t>
      </w:r>
    </w:p>
    <w:p w14:paraId="7A12EEF5"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Ahora, si bien la limitación garantiza la igualdad de condiciones, también es necesario que tal limitación que pretende la igualdad no termine yendo en detrimento de intereses públicos cuya garantía está en cabeza del ejecutivo, como son los inmersos en las excepciones para la prohibición de contratación.</w:t>
      </w:r>
    </w:p>
    <w:p w14:paraId="41D87C50" w14:textId="0D3E43C6" w:rsidR="001B3E5C" w:rsidRPr="001B3E5C" w:rsidRDefault="001B3E5C" w:rsidP="001B3E5C">
      <w:pPr>
        <w:jc w:val="both"/>
        <w:rPr>
          <w:rFonts w:ascii="Arial" w:hAnsi="Arial" w:cs="Arial"/>
          <w:sz w:val="24"/>
          <w:szCs w:val="24"/>
        </w:rPr>
      </w:pPr>
      <w:r w:rsidRPr="001B3E5C">
        <w:rPr>
          <w:rFonts w:ascii="Arial" w:hAnsi="Arial" w:cs="Arial"/>
          <w:i/>
          <w:iCs/>
          <w:sz w:val="24"/>
          <w:szCs w:val="24"/>
        </w:rPr>
        <w:t> En efecto, las excepciones de limitación protegen diversos tipos de urgencias de defensa, salud, educación, infraestructura vial y de servicios públicos y ecológicas tienden a no limitar desproporcionadamente la acción del Estado en el cumplimiento de sus fines, en procura de la igualdad entre candidatos como garantía electoral. Por su parte, la no restricción en la celebración de contratos de crédito público es razonable, pues le permite al Estado mantener la estabilidad fiscal toda vez que tanto el endeudamiento interno como el externo permiten conseguir los recursos necesarios para el pleno cubrimiento de las previsiones presupuestales.</w:t>
      </w:r>
    </w:p>
    <w:p w14:paraId="2F479507" w14:textId="28BAB2E3" w:rsidR="001B3E5C" w:rsidRPr="001B3E5C" w:rsidRDefault="001B3E5C" w:rsidP="001B3E5C">
      <w:pPr>
        <w:jc w:val="both"/>
        <w:rPr>
          <w:rFonts w:ascii="Arial" w:hAnsi="Arial" w:cs="Arial"/>
          <w:sz w:val="24"/>
          <w:szCs w:val="24"/>
        </w:rPr>
      </w:pPr>
      <w:r w:rsidRPr="001B3E5C">
        <w:rPr>
          <w:rFonts w:ascii="Arial" w:hAnsi="Arial" w:cs="Arial"/>
          <w:i/>
          <w:iCs/>
          <w:sz w:val="24"/>
          <w:szCs w:val="24"/>
        </w:rPr>
        <w:t> Ahora bien, esta Corporación </w:t>
      </w:r>
      <w:r w:rsidRPr="001B3E5C">
        <w:rPr>
          <w:rFonts w:ascii="Arial" w:hAnsi="Arial" w:cs="Arial"/>
          <w:i/>
          <w:iCs/>
          <w:sz w:val="24"/>
          <w:szCs w:val="24"/>
          <w:u w:val="single"/>
        </w:rPr>
        <w:t xml:space="preserve">considera que la prohibición de suspender cualquier forma de vinculación que "afecte" la nómina estatal hace referencia a la imposibilidad de creación de nuevos cargos y a la provisión de </w:t>
      </w:r>
      <w:proofErr w:type="gramStart"/>
      <w:r w:rsidRPr="001B3E5C">
        <w:rPr>
          <w:rFonts w:ascii="Arial" w:hAnsi="Arial" w:cs="Arial"/>
          <w:i/>
          <w:iCs/>
          <w:sz w:val="24"/>
          <w:szCs w:val="24"/>
          <w:u w:val="single"/>
        </w:rPr>
        <w:t>los mismos</w:t>
      </w:r>
      <w:proofErr w:type="gramEnd"/>
      <w:r w:rsidRPr="001B3E5C">
        <w:rPr>
          <w:rFonts w:ascii="Arial" w:hAnsi="Arial" w:cs="Arial"/>
          <w:i/>
          <w:iCs/>
          <w:sz w:val="24"/>
          <w:szCs w:val="24"/>
          <w:u w:val="single"/>
        </w:rPr>
        <w:t>, salvo que se trate de solventar situaciones tales como renuncia, licencia o muerte que sean indispensables para el cabal funcionamiento de la Administración Pública.</w:t>
      </w:r>
    </w:p>
    <w:p w14:paraId="682D03DC"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 </w:t>
      </w:r>
    </w:p>
    <w:p w14:paraId="21F9F25B"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Por último, la Sala precisa que la declaratoria de </w:t>
      </w:r>
      <w:proofErr w:type="spellStart"/>
      <w:r w:rsidRPr="001B3E5C">
        <w:rPr>
          <w:rFonts w:ascii="Arial" w:hAnsi="Arial" w:cs="Arial"/>
          <w:i/>
          <w:iCs/>
          <w:sz w:val="24"/>
          <w:szCs w:val="24"/>
        </w:rPr>
        <w:t>exequibilidad</w:t>
      </w:r>
      <w:proofErr w:type="spellEnd"/>
      <w:r w:rsidRPr="001B3E5C">
        <w:rPr>
          <w:rFonts w:ascii="Arial" w:hAnsi="Arial" w:cs="Arial"/>
          <w:i/>
          <w:iCs/>
          <w:sz w:val="24"/>
          <w:szCs w:val="24"/>
        </w:rPr>
        <w:t xml:space="preserve"> del artículo 32 se da bajo el entendido que el </w:t>
      </w:r>
      <w:proofErr w:type="gramStart"/>
      <w:r w:rsidRPr="001B3E5C">
        <w:rPr>
          <w:rFonts w:ascii="Arial" w:hAnsi="Arial" w:cs="Arial"/>
          <w:i/>
          <w:iCs/>
          <w:sz w:val="24"/>
          <w:szCs w:val="24"/>
        </w:rPr>
        <w:t>Presidente</w:t>
      </w:r>
      <w:proofErr w:type="gramEnd"/>
      <w:r w:rsidRPr="001B3E5C">
        <w:rPr>
          <w:rFonts w:ascii="Arial" w:hAnsi="Arial" w:cs="Arial"/>
          <w:i/>
          <w:iCs/>
          <w:sz w:val="24"/>
          <w:szCs w:val="24"/>
        </w:rPr>
        <w:t xml:space="preserve"> o el </w:t>
      </w:r>
      <w:proofErr w:type="gramStart"/>
      <w:r w:rsidRPr="001B3E5C">
        <w:rPr>
          <w:rFonts w:ascii="Arial" w:hAnsi="Arial" w:cs="Arial"/>
          <w:i/>
          <w:iCs/>
          <w:sz w:val="24"/>
          <w:szCs w:val="24"/>
        </w:rPr>
        <w:t>Vicepresidente</w:t>
      </w:r>
      <w:proofErr w:type="gramEnd"/>
      <w:r w:rsidRPr="001B3E5C">
        <w:rPr>
          <w:rFonts w:ascii="Arial" w:hAnsi="Arial" w:cs="Arial"/>
          <w:i/>
          <w:iCs/>
          <w:sz w:val="24"/>
          <w:szCs w:val="24"/>
        </w:rPr>
        <w:t xml:space="preserve"> de la República se ven </w:t>
      </w:r>
      <w:r w:rsidRPr="001B3E5C">
        <w:rPr>
          <w:rFonts w:ascii="Arial" w:hAnsi="Arial" w:cs="Arial"/>
          <w:i/>
          <w:iCs/>
          <w:sz w:val="24"/>
          <w:szCs w:val="24"/>
        </w:rPr>
        <w:lastRenderedPageBreak/>
        <w:t>cubiertos con la prohibición desde que manifiestan el interés previsto en el artículo 9.”</w:t>
      </w:r>
    </w:p>
    <w:p w14:paraId="1F9636FD" w14:textId="09C31BAC" w:rsidR="001B3E5C" w:rsidRPr="001B3E5C" w:rsidRDefault="001B3E5C" w:rsidP="001B3E5C">
      <w:pPr>
        <w:jc w:val="both"/>
        <w:rPr>
          <w:rFonts w:ascii="Arial" w:hAnsi="Arial" w:cs="Arial"/>
          <w:sz w:val="24"/>
          <w:szCs w:val="24"/>
        </w:rPr>
      </w:pPr>
      <w:r w:rsidRPr="001B3E5C">
        <w:rPr>
          <w:rFonts w:ascii="Arial" w:hAnsi="Arial" w:cs="Arial"/>
          <w:i/>
          <w:iCs/>
          <w:sz w:val="24"/>
          <w:szCs w:val="24"/>
        </w:rPr>
        <w:t> (...)</w:t>
      </w:r>
    </w:p>
    <w:p w14:paraId="7C4D7A20" w14:textId="1D6D6B89" w:rsidR="001B3E5C" w:rsidRPr="001B3E5C" w:rsidRDefault="001B3E5C" w:rsidP="001B3E5C">
      <w:pPr>
        <w:jc w:val="both"/>
        <w:rPr>
          <w:rFonts w:ascii="Arial" w:hAnsi="Arial" w:cs="Arial"/>
          <w:sz w:val="24"/>
          <w:szCs w:val="24"/>
        </w:rPr>
      </w:pPr>
      <w:r w:rsidRPr="001B3E5C">
        <w:rPr>
          <w:rFonts w:ascii="Arial" w:hAnsi="Arial" w:cs="Arial"/>
          <w:i/>
          <w:iCs/>
          <w:sz w:val="24"/>
          <w:szCs w:val="24"/>
        </w:rPr>
        <w:t> “Por último, la Sala también encuentra ajustada a la Carta la prohibición de modificar la nómina de los entes territoriales que dirijan o en los cuales participen Gobernadores, Alcaldes, Secretarios, Gerentes y directores de Entidades Descentralizadas del orden municipal, departamental o distrital durante los cuatro meses anteriores a las elecciones a cargos de elección popular, pues esto garantiza que no se utilice como medio para la campaña electoral en la cual pueden llegar a participar los funcionarios públicos autorizados por la Carta para actuar en política y, por tanto, promueve la transparencia del actuar administrativo.</w:t>
      </w:r>
    </w:p>
    <w:p w14:paraId="66084735" w14:textId="1D09521B" w:rsidR="001B3E5C" w:rsidRPr="001B3E5C" w:rsidRDefault="001B3E5C" w:rsidP="001B3E5C">
      <w:pPr>
        <w:jc w:val="both"/>
        <w:rPr>
          <w:rFonts w:ascii="Arial" w:hAnsi="Arial" w:cs="Arial"/>
          <w:sz w:val="24"/>
          <w:szCs w:val="24"/>
        </w:rPr>
      </w:pPr>
      <w:r w:rsidRPr="001B3E5C">
        <w:rPr>
          <w:rFonts w:ascii="Arial" w:hAnsi="Arial" w:cs="Arial"/>
          <w:i/>
          <w:iCs/>
          <w:sz w:val="24"/>
          <w:szCs w:val="24"/>
        </w:rPr>
        <w:t> Ahora bien, las excepciones a esta prohibición, consignadas en el inciso cuarto del parágrafo, respetan el equilibrio que debe existir entre la guarda de la moralidad administrativa y la eficacia de la administración, a través de la autorización de vincular en nómina (a) </w:t>
      </w:r>
      <w:r w:rsidRPr="001B3E5C">
        <w:rPr>
          <w:rFonts w:ascii="Arial" w:hAnsi="Arial" w:cs="Arial"/>
          <w:i/>
          <w:iCs/>
          <w:sz w:val="24"/>
          <w:szCs w:val="24"/>
          <w:u w:val="single"/>
        </w:rPr>
        <w:t>cuando se trate de proveer cargos por faltas definitivas derivada de muerte o renuncia y</w:t>
      </w:r>
      <w:r w:rsidRPr="001B3E5C">
        <w:rPr>
          <w:rFonts w:ascii="Arial" w:hAnsi="Arial" w:cs="Arial"/>
          <w:i/>
          <w:iCs/>
          <w:sz w:val="24"/>
          <w:szCs w:val="24"/>
        </w:rPr>
        <w:t> (b) los cargos de carrera administrativa.</w:t>
      </w:r>
    </w:p>
    <w:p w14:paraId="3C6568F7" w14:textId="099F8744" w:rsidR="001B3E5C" w:rsidRPr="001B3E5C" w:rsidRDefault="001B3E5C" w:rsidP="001B3E5C">
      <w:pPr>
        <w:jc w:val="both"/>
        <w:rPr>
          <w:rFonts w:ascii="Arial" w:hAnsi="Arial" w:cs="Arial"/>
          <w:sz w:val="24"/>
          <w:szCs w:val="24"/>
        </w:rPr>
      </w:pPr>
      <w:r w:rsidRPr="001B3E5C">
        <w:rPr>
          <w:rFonts w:ascii="Arial" w:hAnsi="Arial" w:cs="Arial"/>
          <w:i/>
          <w:iCs/>
          <w:sz w:val="24"/>
          <w:szCs w:val="24"/>
        </w:rPr>
        <w:t> </w:t>
      </w:r>
      <w:r w:rsidRPr="001B3E5C">
        <w:rPr>
          <w:rFonts w:ascii="Arial" w:hAnsi="Arial" w:cs="Arial"/>
          <w:i/>
          <w:iCs/>
          <w:sz w:val="24"/>
          <w:szCs w:val="24"/>
          <w:u w:val="single"/>
        </w:rPr>
        <w:t>En efecto, si se trata de proveer un cargo por necesidad del servicio, toda vez que quien lo desempeñaba no está en capacidad de seguirlo haciendo, es claro que la vinculación no se tratará de un cargo creado ad hoc en épocas de campaña, sino de una necesidad permanente de la administración que no puede dejar de ser satisfecha por encontrarse en periodo de campaña. De otra parte, si con la prohibición de modificación de nómina pretende evitar la vulneración de la moralidad administrativa, las vinculaciones que se presenten aplicando las normas de carrera administrativa serán admisibles por todas las garantías de transparencia y objetividad que deben rodear el régimen de carrera.</w:t>
      </w:r>
    </w:p>
    <w:p w14:paraId="43CB0B57"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Por último, el límite de tiempo para la prohibición de modificación de nómina es razonable, pues en los cuatro meses indicados, época de campaña, es que se presentan el mayor riesgo de aprovechamiento del cargo público para fines políticos.”</w:t>
      </w:r>
      <w:r w:rsidRPr="001B3E5C">
        <w:rPr>
          <w:rFonts w:ascii="Arial" w:hAnsi="Arial" w:cs="Arial"/>
          <w:sz w:val="24"/>
          <w:szCs w:val="24"/>
        </w:rPr>
        <w:t> (Subrayado fuera de texto).</w:t>
      </w:r>
    </w:p>
    <w:p w14:paraId="23A20B7E"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Tal como lo señala la Corte Constitucional en sentencia C-1153 de 2005, está prohibida la provisión de cargos salvo que se trate de solventar situaciones tales como renuncia, licencia o muerte que sean indispensables para el cabal funcionamiento de la Administración Pública, o cuando se trate de la designación de servidores públicos en cargos de carrera por el sistema de concurso público de méritos. En esos casos, de conformidad con lo señalado por la Corte Constitucional, la vinculación no se tratará de un cargo creado ad hoc en épocas de campaña, sino de una necesidad permanente de la administración que no puede dejar de ser satisfecha por encontrarse en periodo de campaña; es decir, la prohibición de suspender cualquier forma de vinculación que afecte la nómina estatal hace </w:t>
      </w:r>
      <w:r w:rsidRPr="001B3E5C">
        <w:rPr>
          <w:rFonts w:ascii="Arial" w:hAnsi="Arial" w:cs="Arial"/>
          <w:sz w:val="24"/>
          <w:szCs w:val="24"/>
        </w:rPr>
        <w:lastRenderedPageBreak/>
        <w:t xml:space="preserve">referencia a la imposibilidad de creación de nuevos cargos y a la provisión de </w:t>
      </w:r>
      <w:proofErr w:type="gramStart"/>
      <w:r w:rsidRPr="001B3E5C">
        <w:rPr>
          <w:rFonts w:ascii="Arial" w:hAnsi="Arial" w:cs="Arial"/>
          <w:sz w:val="24"/>
          <w:szCs w:val="24"/>
        </w:rPr>
        <w:t>los mismos</w:t>
      </w:r>
      <w:proofErr w:type="gramEnd"/>
      <w:r w:rsidRPr="001B3E5C">
        <w:rPr>
          <w:rFonts w:ascii="Arial" w:hAnsi="Arial" w:cs="Arial"/>
          <w:sz w:val="24"/>
          <w:szCs w:val="24"/>
        </w:rPr>
        <w:t>.</w:t>
      </w:r>
    </w:p>
    <w:p w14:paraId="774F09B0" w14:textId="63AA7C8D" w:rsidR="001B3E5C" w:rsidRPr="001B3E5C" w:rsidRDefault="001B3E5C" w:rsidP="001B3E5C">
      <w:pPr>
        <w:jc w:val="both"/>
        <w:rPr>
          <w:rFonts w:ascii="Arial" w:hAnsi="Arial" w:cs="Arial"/>
          <w:sz w:val="24"/>
          <w:szCs w:val="24"/>
        </w:rPr>
      </w:pPr>
      <w:r w:rsidRPr="001B3E5C">
        <w:rPr>
          <w:rFonts w:ascii="Arial" w:hAnsi="Arial" w:cs="Arial"/>
          <w:sz w:val="24"/>
          <w:szCs w:val="24"/>
        </w:rPr>
        <w:t> Por su parte, el Consejo de Estado, Sala de Consulta y Servicio Civil, Concepto </w:t>
      </w:r>
      <w:hyperlink r:id="rId17" w:anchor="2207" w:tooltip="vinculo" w:history="1">
        <w:r w:rsidRPr="001B3E5C">
          <w:rPr>
            <w:rStyle w:val="Hipervnculo"/>
            <w:rFonts w:ascii="Arial" w:hAnsi="Arial" w:cs="Arial"/>
            <w:sz w:val="24"/>
            <w:szCs w:val="24"/>
          </w:rPr>
          <w:t>2207</w:t>
        </w:r>
      </w:hyperlink>
      <w:r w:rsidRPr="001B3E5C">
        <w:rPr>
          <w:rFonts w:ascii="Arial" w:hAnsi="Arial" w:cs="Arial"/>
          <w:sz w:val="24"/>
          <w:szCs w:val="24"/>
        </w:rPr>
        <w:t> del 1 de abril de 2014, indica que para proceder a la provisión del empleo es condición indispensable satisfacer los siguientes requisitos:</w:t>
      </w:r>
    </w:p>
    <w:p w14:paraId="0A50F613" w14:textId="1E790B56" w:rsidR="001B3E5C" w:rsidRPr="001B3E5C" w:rsidRDefault="001B3E5C" w:rsidP="001B3E5C">
      <w:pPr>
        <w:jc w:val="both"/>
        <w:rPr>
          <w:rFonts w:ascii="Arial" w:hAnsi="Arial" w:cs="Arial"/>
          <w:sz w:val="24"/>
          <w:szCs w:val="24"/>
        </w:rPr>
      </w:pPr>
      <w:r w:rsidRPr="001B3E5C">
        <w:rPr>
          <w:rFonts w:ascii="Arial" w:hAnsi="Arial" w:cs="Arial"/>
          <w:sz w:val="24"/>
          <w:szCs w:val="24"/>
        </w:rPr>
        <w:t> </w:t>
      </w:r>
      <w:r w:rsidRPr="001B3E5C">
        <w:rPr>
          <w:rFonts w:ascii="Arial" w:hAnsi="Arial" w:cs="Arial"/>
          <w:i/>
          <w:iCs/>
          <w:sz w:val="24"/>
          <w:szCs w:val="24"/>
        </w:rPr>
        <w:t>“El primer parámetro que se debe tener en cuenta para precisar el concepto mencionado es el de los propósitos y objetivos fijados por el legislador en la Ley Estatutaria de Garantías Electorales, que se concretan en evitar la distorsión de la voluntad de los electores por influencias que provengan de la acción u omisión de los servidores públicos tendientes a favorecer una causa o campaña electoral.</w:t>
      </w:r>
    </w:p>
    <w:p w14:paraId="260090B3"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El segundo parámetro se refiere al cumplimiento de la función legal de nominación, la cual debe efectuarse con especial sujeción a los principios que rigen la función administrativa, los cuales servirán de límite para identificar algunos criterios de lo que representa una (sic) “cabal funcionamiento de la administración pública”.</w:t>
      </w:r>
    </w:p>
    <w:p w14:paraId="0990A87A"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w:t>
      </w:r>
    </w:p>
    <w:p w14:paraId="33730FFE"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Un tercer parámetro que resulta relevante en este análisis es la existencia real y verificable de situaciones de apremio o necesidad del servicio que permitan concluir que sin la provisión del cargo se alteraría significativamente la función de la administración o se afectaría seriamente el servicio público.</w:t>
      </w:r>
    </w:p>
    <w:p w14:paraId="11714D56" w14:textId="16CA76CC" w:rsidR="001B3E5C" w:rsidRPr="001B3E5C" w:rsidRDefault="001B3E5C" w:rsidP="001B3E5C">
      <w:pPr>
        <w:jc w:val="both"/>
        <w:rPr>
          <w:rFonts w:ascii="Arial" w:hAnsi="Arial" w:cs="Arial"/>
          <w:sz w:val="24"/>
          <w:szCs w:val="24"/>
        </w:rPr>
      </w:pPr>
      <w:r w:rsidRPr="001B3E5C">
        <w:rPr>
          <w:rFonts w:ascii="Arial" w:hAnsi="Arial" w:cs="Arial"/>
          <w:i/>
          <w:iCs/>
          <w:sz w:val="24"/>
          <w:szCs w:val="24"/>
        </w:rPr>
        <w:t> En consecuencia, las razones de la provisión del cargo tienen que ser ciertas y verificables. La decisión del nominador no puede ser arbitraria, esto es con desconocimiento de los fines de la Ley de Garantías Electorales, o de los principios de la función administrativa, por lo cual, con sujeción entre</w:t>
      </w:r>
    </w:p>
    <w:p w14:paraId="42B083BB"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otros a los anteriores criterios, se encuentra en la obligación de motivar debidamente el acto administrativo correspondiente.</w:t>
      </w:r>
    </w:p>
    <w:p w14:paraId="72D60DD5" w14:textId="703C247B" w:rsidR="001B3E5C" w:rsidRPr="001B3E5C" w:rsidRDefault="001B3E5C" w:rsidP="001B3E5C">
      <w:pPr>
        <w:jc w:val="both"/>
        <w:rPr>
          <w:rFonts w:ascii="Arial" w:hAnsi="Arial" w:cs="Arial"/>
          <w:sz w:val="24"/>
          <w:szCs w:val="24"/>
        </w:rPr>
      </w:pPr>
      <w:r w:rsidRPr="001B3E5C">
        <w:rPr>
          <w:rFonts w:ascii="Arial" w:hAnsi="Arial" w:cs="Arial"/>
          <w:i/>
          <w:iCs/>
          <w:sz w:val="24"/>
          <w:szCs w:val="24"/>
        </w:rPr>
        <w:t> Finalmente, el régimen de prohibiciones y restricciones de la Ley Estatutaria de Garantías Electorales exige de los órganos y entidades a las que les es aplicable, la responsabilidad de planear y prever con suficiente antelación cualquier gestión ineludible para garantizar que la función administrativa satisfaga las necesidades básicas asociadas con la efectividad de los derechos de las personas y que los servicios públicos se presten de forma continua y permanente de acuerdo con la misión y las funciones asignadas a la respectiva entidad.</w:t>
      </w:r>
    </w:p>
    <w:p w14:paraId="18DDA9C1"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 </w:t>
      </w:r>
    </w:p>
    <w:p w14:paraId="0AC610E1"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w:t>
      </w:r>
    </w:p>
    <w:p w14:paraId="6B825151"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 </w:t>
      </w:r>
    </w:p>
    <w:p w14:paraId="01767881"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u w:val="single"/>
        </w:rPr>
        <w:t xml:space="preserve">Dentro de los criterios que se deben tener en cuenta para proveer cargos en vigencia de las restricciones de la Ley de Garantías Electorales en materia de </w:t>
      </w:r>
      <w:r w:rsidRPr="001B3E5C">
        <w:rPr>
          <w:rFonts w:ascii="Arial" w:hAnsi="Arial" w:cs="Arial"/>
          <w:i/>
          <w:iCs/>
          <w:sz w:val="24"/>
          <w:szCs w:val="24"/>
          <w:u w:val="single"/>
        </w:rPr>
        <w:lastRenderedPageBreak/>
        <w:t>afectación o modificación de la nómina de las entidades de la Rama Ejecutiva del Poder Público, por resultar “indispensables para el cabal funcionamiento de la administración”, se encuentran: a) los propósitos y objetivos fijados por propia Ley Estatutaria de Garantías Electorales; b) la sujeción a los principios que rigen la función administrativa, previstos en el artículo 209 de la Constitución Política, el artículo </w:t>
      </w:r>
      <w:hyperlink r:id="rId18" w:anchor="3" w:tooltip="vinculo" w:history="1">
        <w:r w:rsidRPr="001B3E5C">
          <w:rPr>
            <w:rStyle w:val="Hipervnculo"/>
            <w:rFonts w:ascii="Arial" w:hAnsi="Arial" w:cs="Arial"/>
            <w:i/>
            <w:iCs/>
            <w:sz w:val="24"/>
            <w:szCs w:val="24"/>
          </w:rPr>
          <w:t>3</w:t>
        </w:r>
      </w:hyperlink>
      <w:r w:rsidRPr="001B3E5C">
        <w:rPr>
          <w:rFonts w:ascii="Arial" w:hAnsi="Arial" w:cs="Arial"/>
          <w:i/>
          <w:iCs/>
          <w:sz w:val="24"/>
          <w:szCs w:val="24"/>
          <w:u w:val="single"/>
        </w:rPr>
        <w:t> de la Ley </w:t>
      </w:r>
      <w:hyperlink r:id="rId19" w:anchor="489" w:tooltip="vinculo" w:history="1">
        <w:r w:rsidRPr="001B3E5C">
          <w:rPr>
            <w:rStyle w:val="Hipervnculo"/>
            <w:rFonts w:ascii="Arial" w:hAnsi="Arial" w:cs="Arial"/>
            <w:i/>
            <w:iCs/>
            <w:sz w:val="24"/>
            <w:szCs w:val="24"/>
          </w:rPr>
          <w:t>489</w:t>
        </w:r>
      </w:hyperlink>
      <w:r w:rsidRPr="001B3E5C">
        <w:rPr>
          <w:rFonts w:ascii="Arial" w:hAnsi="Arial" w:cs="Arial"/>
          <w:i/>
          <w:iCs/>
          <w:sz w:val="24"/>
          <w:szCs w:val="24"/>
          <w:u w:val="single"/>
        </w:rPr>
        <w:t> de 1998 y el artículo 3 de la Ley 1437 de 2011; c) la existencia real y verificable de situaciones de apremio o necesidad del servicio que permitan concluir que sin la provisión del cargo se alteraría significativamente la función de la administración o se afectaría seriamente el servicio público en detrimento de los intereses públicos, cuya garantía está a cargo de la respectiva entidad; d) la garantía de que la función administrativa satisfaga las necesidades básicas asociadas con la efectividad de los derechos de las personas y que los servicios públicos se presten de forma continua y permanente, de acuerdo con la misión y las funciones asignadas a la respectiva entidad</w:t>
      </w:r>
      <w:r w:rsidRPr="001B3E5C">
        <w:rPr>
          <w:rFonts w:ascii="Arial" w:hAnsi="Arial" w:cs="Arial"/>
          <w:i/>
          <w:iCs/>
          <w:sz w:val="24"/>
          <w:szCs w:val="24"/>
        </w:rPr>
        <w:t>.”</w:t>
      </w:r>
      <w:r w:rsidRPr="001B3E5C">
        <w:rPr>
          <w:rFonts w:ascii="Arial" w:hAnsi="Arial" w:cs="Arial"/>
          <w:sz w:val="24"/>
          <w:szCs w:val="24"/>
        </w:rPr>
        <w:t> (Subrayado fuera de texto).</w:t>
      </w:r>
    </w:p>
    <w:p w14:paraId="5D43A75C"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En consecuencia, dentro de los factores a considerar para modificar la nómina se encuentra la existencia de situaciones de apremio o necesidad del servicio que afecten de forma grave o significativa la función de la administración o la prestación del servicio público.</w:t>
      </w:r>
    </w:p>
    <w:p w14:paraId="31A660BD"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Ahora bien, sobre las implicaciones de la suspensión de vinculación a la nómina y la restricción temporal de modificar la nómina estatal, este Departamento Administrativo en conjunto con la Presidencia de la República expidieron la Circular Conjunta 100-006-2025 de 2025</w:t>
      </w:r>
      <w:r w:rsidRPr="001B3E5C">
        <w:rPr>
          <w:rFonts w:ascii="Arial" w:hAnsi="Arial" w:cs="Arial"/>
          <w:sz w:val="24"/>
          <w:szCs w:val="24"/>
          <w:vertAlign w:val="superscript"/>
        </w:rPr>
        <w:t>6</w:t>
      </w:r>
      <w:r w:rsidRPr="001B3E5C">
        <w:rPr>
          <w:rFonts w:ascii="Arial" w:hAnsi="Arial" w:cs="Arial"/>
          <w:sz w:val="24"/>
          <w:szCs w:val="24"/>
        </w:rPr>
        <w:t>, en la cual se establece:</w:t>
      </w:r>
    </w:p>
    <w:p w14:paraId="0677782B" w14:textId="07629FB5" w:rsidR="001B3E5C" w:rsidRPr="001B3E5C" w:rsidRDefault="001B3E5C" w:rsidP="001B3E5C">
      <w:pPr>
        <w:jc w:val="both"/>
        <w:rPr>
          <w:rFonts w:ascii="Arial" w:hAnsi="Arial" w:cs="Arial"/>
          <w:sz w:val="24"/>
          <w:szCs w:val="24"/>
        </w:rPr>
      </w:pPr>
      <w:r w:rsidRPr="001B3E5C">
        <w:rPr>
          <w:rFonts w:ascii="Arial" w:hAnsi="Arial" w:cs="Arial"/>
          <w:sz w:val="24"/>
          <w:szCs w:val="24"/>
        </w:rPr>
        <w:t> </w:t>
      </w:r>
      <w:r w:rsidRPr="001B3E5C">
        <w:rPr>
          <w:rFonts w:ascii="Arial" w:hAnsi="Arial" w:cs="Arial"/>
          <w:i/>
          <w:iCs/>
          <w:sz w:val="24"/>
          <w:szCs w:val="24"/>
        </w:rPr>
        <w:t>“En vigencia de la restricción no se podrán crear nuevos cargos ni proveer las vacantes definitivas2, salvo que se trate de vacantes generadas por renuncia, licencia, muerte o expiración del periodo fijo3 indispensables para el cabal funcionamiento de la Administración Pública y en los casos de aplicación de las normas de carrera administrativa, como los nombramientos que deban hacerse en período de prueba de quienes hayan sido seleccionados en los concursos de méritos adelantados por la Comisión Nacional del Servicio Civil4. Tampoco podrán incorporar ni desvincular a persona alguna de la planta.</w:t>
      </w:r>
    </w:p>
    <w:p w14:paraId="15F13064" w14:textId="6D95A25E" w:rsidR="001B3E5C" w:rsidRPr="001B3E5C" w:rsidRDefault="001B3E5C" w:rsidP="001B3E5C">
      <w:pPr>
        <w:jc w:val="both"/>
        <w:rPr>
          <w:rFonts w:ascii="Arial" w:hAnsi="Arial" w:cs="Arial"/>
          <w:sz w:val="24"/>
          <w:szCs w:val="24"/>
        </w:rPr>
      </w:pPr>
      <w:r w:rsidRPr="001B3E5C">
        <w:rPr>
          <w:rFonts w:ascii="Arial" w:hAnsi="Arial" w:cs="Arial"/>
          <w:i/>
          <w:iCs/>
          <w:sz w:val="24"/>
          <w:szCs w:val="24"/>
        </w:rPr>
        <w:t> Además, con independencia de que el cargo que se pretenda proveer hubiese quedado vacante antes o después de que empiecen a correr los términos de las restricciones de la ley de garantías</w:t>
      </w:r>
    </w:p>
    <w:p w14:paraId="60DA17A3"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 </w:t>
      </w:r>
    </w:p>
    <w:p w14:paraId="29C9A19B" w14:textId="77777777" w:rsidR="001B3E5C" w:rsidRPr="001B3E5C" w:rsidRDefault="001B3E5C" w:rsidP="001B3E5C">
      <w:pPr>
        <w:jc w:val="both"/>
        <w:rPr>
          <w:rFonts w:ascii="Arial" w:hAnsi="Arial" w:cs="Arial"/>
          <w:sz w:val="24"/>
          <w:szCs w:val="24"/>
        </w:rPr>
      </w:pPr>
      <w:r w:rsidRPr="001B3E5C">
        <w:rPr>
          <w:rFonts w:ascii="Arial" w:hAnsi="Arial" w:cs="Arial"/>
          <w:i/>
          <w:iCs/>
          <w:sz w:val="24"/>
          <w:szCs w:val="24"/>
        </w:rPr>
        <w:t>electorales, el nominador podrá proveerlo para evitar la afectación del servicio público, si resulta indispensable para la buena marcha de la administración.</w:t>
      </w:r>
    </w:p>
    <w:p w14:paraId="1A94A486" w14:textId="2082DDA9" w:rsidR="001B3E5C" w:rsidRPr="001B3E5C" w:rsidRDefault="001B3E5C" w:rsidP="001B3E5C">
      <w:pPr>
        <w:jc w:val="both"/>
        <w:rPr>
          <w:rFonts w:ascii="Arial" w:hAnsi="Arial" w:cs="Arial"/>
          <w:sz w:val="24"/>
          <w:szCs w:val="24"/>
        </w:rPr>
      </w:pPr>
      <w:r w:rsidRPr="001B3E5C">
        <w:rPr>
          <w:rFonts w:ascii="Arial" w:hAnsi="Arial" w:cs="Arial"/>
          <w:i/>
          <w:iCs/>
          <w:sz w:val="24"/>
          <w:szCs w:val="24"/>
        </w:rPr>
        <w:t xml:space="preserve"> El criterio para proveer las vacantes en las plantas de personal por renuncia, licencia o muerte, o cualquier otra causa legal que genere la vacancia definitiva del </w:t>
      </w:r>
      <w:r w:rsidRPr="001B3E5C">
        <w:rPr>
          <w:rFonts w:ascii="Arial" w:hAnsi="Arial" w:cs="Arial"/>
          <w:i/>
          <w:iCs/>
          <w:sz w:val="24"/>
          <w:szCs w:val="24"/>
        </w:rPr>
        <w:lastRenderedPageBreak/>
        <w:t>cargo, según el caso, únicamente está condicionado a que los cargos resulten "indispensables" para el cabal funcionamiento de la administración pública, o se requiera dar cumplimiento a las normas de carrera administrativa, y no al nivel jerárquico en el cual se encuentre el empleo a proveer"</w:t>
      </w:r>
      <w:r w:rsidRPr="001B3E5C">
        <w:rPr>
          <w:rFonts w:ascii="Arial" w:hAnsi="Arial" w:cs="Arial"/>
          <w:sz w:val="24"/>
          <w:szCs w:val="24"/>
        </w:rPr>
        <w:t>5.</w:t>
      </w:r>
    </w:p>
    <w:p w14:paraId="4F2031EA" w14:textId="577E4EAC" w:rsidR="001B3E5C" w:rsidRPr="001B3E5C" w:rsidRDefault="001B3E5C" w:rsidP="001B3E5C">
      <w:pPr>
        <w:jc w:val="both"/>
        <w:rPr>
          <w:rFonts w:ascii="Arial" w:hAnsi="Arial" w:cs="Arial"/>
          <w:sz w:val="24"/>
          <w:szCs w:val="24"/>
        </w:rPr>
      </w:pPr>
      <w:r w:rsidRPr="001B3E5C">
        <w:rPr>
          <w:rFonts w:ascii="Arial" w:hAnsi="Arial" w:cs="Arial"/>
          <w:sz w:val="24"/>
          <w:szCs w:val="24"/>
        </w:rPr>
        <w:t> Por lo tanto, en atención a su consulta y teniendo en cuenta que el Instituto Superior de Educación Rural - ISER es un Establecimiento Público de Educación Superior perteneciente a la Rama Ejecutiva, entidad a la cual le aplican las restricciones y prohibiciones consagradas en la Ley </w:t>
      </w:r>
      <w:hyperlink r:id="rId20" w:anchor="996" w:tooltip="vinculo" w:history="1">
        <w:r w:rsidRPr="001B3E5C">
          <w:rPr>
            <w:rStyle w:val="Hipervnculo"/>
            <w:rFonts w:ascii="Arial" w:hAnsi="Arial" w:cs="Arial"/>
            <w:sz w:val="24"/>
            <w:szCs w:val="24"/>
          </w:rPr>
          <w:t>996</w:t>
        </w:r>
      </w:hyperlink>
      <w:r w:rsidRPr="001B3E5C">
        <w:rPr>
          <w:rFonts w:ascii="Arial" w:hAnsi="Arial" w:cs="Arial"/>
          <w:sz w:val="24"/>
          <w:szCs w:val="24"/>
        </w:rPr>
        <w:t> de 2005</w:t>
      </w:r>
      <w:r w:rsidRPr="001B3E5C">
        <w:rPr>
          <w:rFonts w:ascii="Arial" w:hAnsi="Arial" w:cs="Arial"/>
          <w:sz w:val="24"/>
          <w:szCs w:val="24"/>
          <w:vertAlign w:val="superscript"/>
        </w:rPr>
        <w:t>7</w:t>
      </w:r>
      <w:r w:rsidRPr="001B3E5C">
        <w:rPr>
          <w:rFonts w:ascii="Arial" w:hAnsi="Arial" w:cs="Arial"/>
          <w:sz w:val="24"/>
          <w:szCs w:val="24"/>
        </w:rPr>
        <w:t>, no resulta procedente realizar nombramientos provisionales en empleos de carrera durante la vigencia de la ley de garantías electorales, </w:t>
      </w:r>
      <w:r w:rsidRPr="001B3E5C">
        <w:rPr>
          <w:rFonts w:ascii="Arial" w:hAnsi="Arial" w:cs="Arial"/>
          <w:sz w:val="24"/>
          <w:szCs w:val="24"/>
          <w:u w:val="single"/>
        </w:rPr>
        <w:t>salvo que se trate de solventar situaciones tales como renuncia, licencia o muerte, o que existan situaciones de apremio o necesidad del servicio que afecten de forma grave o significativa la función de la administración o la prestación del servicio público</w:t>
      </w:r>
      <w:r w:rsidRPr="001B3E5C">
        <w:rPr>
          <w:rFonts w:ascii="Arial" w:hAnsi="Arial" w:cs="Arial"/>
          <w:sz w:val="24"/>
          <w:szCs w:val="24"/>
        </w:rPr>
        <w:t>, escenario que deberá ser analizado de manera particular por la entidad para proceder con el nombramiento al que se alude en su consulta y que debe ser expuesto en el respectivo acto administrativo de nombramiento.</w:t>
      </w:r>
    </w:p>
    <w:p w14:paraId="0AF8BAB1" w14:textId="239CF1C1" w:rsidR="001B3E5C" w:rsidRPr="001B3E5C" w:rsidRDefault="001B3E5C" w:rsidP="001B3E5C">
      <w:pPr>
        <w:jc w:val="both"/>
        <w:rPr>
          <w:rFonts w:ascii="Arial" w:hAnsi="Arial" w:cs="Arial"/>
          <w:sz w:val="24"/>
          <w:szCs w:val="24"/>
        </w:rPr>
      </w:pPr>
      <w:r w:rsidRPr="001B3E5C">
        <w:rPr>
          <w:rFonts w:ascii="Arial" w:hAnsi="Arial" w:cs="Arial"/>
          <w:sz w:val="24"/>
          <w:szCs w:val="24"/>
        </w:rPr>
        <w:t> Es importante tener presente que la Ley </w:t>
      </w:r>
      <w:hyperlink r:id="rId21" w:anchor="996" w:tooltip="vinculo" w:history="1">
        <w:r w:rsidRPr="001B3E5C">
          <w:rPr>
            <w:rStyle w:val="Hipervnculo"/>
            <w:rFonts w:ascii="Arial" w:hAnsi="Arial" w:cs="Arial"/>
            <w:sz w:val="24"/>
            <w:szCs w:val="24"/>
          </w:rPr>
          <w:t>996</w:t>
        </w:r>
      </w:hyperlink>
      <w:r w:rsidRPr="001B3E5C">
        <w:rPr>
          <w:rFonts w:ascii="Arial" w:hAnsi="Arial" w:cs="Arial"/>
          <w:sz w:val="24"/>
          <w:szCs w:val="24"/>
        </w:rPr>
        <w:t> de 2005 excluye de las restricciones la aplicación de las normas de carrera administrativa, por lo que en el caso de vacancia definitiva en un empleo de carrera administrativa, mientras se adelanta el concurso respectivo, podrá proveer mediante encargo los empleos de carrera.</w:t>
      </w:r>
    </w:p>
    <w:p w14:paraId="4D461C71" w14:textId="56F347B6" w:rsidR="001B3E5C" w:rsidRPr="001B3E5C" w:rsidRDefault="001B3E5C" w:rsidP="001B3E5C">
      <w:pPr>
        <w:jc w:val="both"/>
        <w:rPr>
          <w:rFonts w:ascii="Arial" w:hAnsi="Arial" w:cs="Arial"/>
          <w:sz w:val="24"/>
          <w:szCs w:val="24"/>
        </w:rPr>
      </w:pPr>
      <w:r w:rsidRPr="001B3E5C">
        <w:rPr>
          <w:rFonts w:ascii="Arial" w:hAnsi="Arial" w:cs="Arial"/>
          <w:sz w:val="24"/>
          <w:szCs w:val="24"/>
        </w:rPr>
        <w:t> Igualmente, en caso de vacancia definitiva se debe tener en cuenta lo consagrado en el artículo </w:t>
      </w:r>
      <w:hyperlink r:id="rId22" w:anchor="2.2.5.3.1" w:tooltip="vinculo" w:history="1">
        <w:r w:rsidRPr="001B3E5C">
          <w:rPr>
            <w:rStyle w:val="Hipervnculo"/>
            <w:rFonts w:ascii="Arial" w:hAnsi="Arial" w:cs="Arial"/>
            <w:sz w:val="24"/>
            <w:szCs w:val="24"/>
          </w:rPr>
          <w:t>2.2.5.3.1</w:t>
        </w:r>
      </w:hyperlink>
      <w:r w:rsidRPr="001B3E5C">
        <w:rPr>
          <w:rFonts w:ascii="Arial" w:hAnsi="Arial" w:cs="Arial"/>
          <w:sz w:val="24"/>
          <w:szCs w:val="24"/>
        </w:rPr>
        <w:t>. del Decreto </w:t>
      </w:r>
      <w:hyperlink r:id="rId23" w:anchor="1083" w:tooltip="vinculo" w:history="1">
        <w:r w:rsidRPr="001B3E5C">
          <w:rPr>
            <w:rStyle w:val="Hipervnculo"/>
            <w:rFonts w:ascii="Arial" w:hAnsi="Arial" w:cs="Arial"/>
            <w:sz w:val="24"/>
            <w:szCs w:val="24"/>
          </w:rPr>
          <w:t>1083</w:t>
        </w:r>
      </w:hyperlink>
      <w:r w:rsidRPr="001B3E5C">
        <w:rPr>
          <w:rFonts w:ascii="Arial" w:hAnsi="Arial" w:cs="Arial"/>
          <w:sz w:val="24"/>
          <w:szCs w:val="24"/>
        </w:rPr>
        <w:t> de 2015</w:t>
      </w:r>
      <w:r w:rsidRPr="001B3E5C">
        <w:rPr>
          <w:rFonts w:ascii="Arial" w:hAnsi="Arial" w:cs="Arial"/>
          <w:sz w:val="24"/>
          <w:szCs w:val="24"/>
          <w:vertAlign w:val="superscript"/>
        </w:rPr>
        <w:t>7</w:t>
      </w:r>
      <w:r w:rsidRPr="001B3E5C">
        <w:rPr>
          <w:rFonts w:ascii="Arial" w:hAnsi="Arial" w:cs="Arial"/>
          <w:sz w:val="24"/>
          <w:szCs w:val="24"/>
        </w:rPr>
        <w:t>: “</w:t>
      </w:r>
      <w:r w:rsidRPr="001B3E5C">
        <w:rPr>
          <w:rFonts w:ascii="Arial" w:hAnsi="Arial" w:cs="Arial"/>
          <w:i/>
          <w:iCs/>
          <w:sz w:val="24"/>
          <w:szCs w:val="24"/>
          <w:u w:val="single"/>
        </w:rPr>
        <w:t>Mientras se surte el proceso de selección, el empleo de carrera vacante de manera definitiva podrá proveerse transitoriamente a través de las figuras del encargo o del nombramiento provisional</w:t>
      </w:r>
      <w:r w:rsidRPr="001B3E5C">
        <w:rPr>
          <w:rFonts w:ascii="Arial" w:hAnsi="Arial" w:cs="Arial"/>
          <w:i/>
          <w:iCs/>
          <w:sz w:val="24"/>
          <w:szCs w:val="24"/>
        </w:rPr>
        <w:t>, en los términos señalados en la Ley 909 de 2004 y en el Decreto-ley 760 de 2005 o en las disposiciones que regulen los sistemas específicos de carrera.”</w:t>
      </w:r>
      <w:r w:rsidRPr="001B3E5C">
        <w:rPr>
          <w:rFonts w:ascii="Arial" w:hAnsi="Arial" w:cs="Arial"/>
          <w:sz w:val="24"/>
          <w:szCs w:val="24"/>
        </w:rPr>
        <w:t> (Subrayado fuera de texto).</w:t>
      </w:r>
    </w:p>
    <w:p w14:paraId="34460D8C" w14:textId="4E12FFB6"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 Finalmente, se hace necesario reiterar que en el marco del Decreto 430 de 2016, este Departamento Administrativo no es competente para pronunciarse sobre los procedimientos internos de una entidad pública. Por tanto, la resolución de los casos </w:t>
      </w:r>
      <w:proofErr w:type="gramStart"/>
      <w:r w:rsidRPr="001B3E5C">
        <w:rPr>
          <w:rFonts w:ascii="Arial" w:hAnsi="Arial" w:cs="Arial"/>
          <w:sz w:val="24"/>
          <w:szCs w:val="24"/>
        </w:rPr>
        <w:t>particulares,</w:t>
      </w:r>
      <w:proofErr w:type="gramEnd"/>
      <w:r w:rsidRPr="001B3E5C">
        <w:rPr>
          <w:rFonts w:ascii="Arial" w:hAnsi="Arial" w:cs="Arial"/>
          <w:sz w:val="24"/>
          <w:szCs w:val="24"/>
        </w:rPr>
        <w:t xml:space="preserve"> corresponderá en todos los casos a la autoridad empleadora y nominadora, en cuanto es la instancia que conoce de manera cierta y documentada la situación particular.</w:t>
      </w:r>
    </w:p>
    <w:p w14:paraId="7E8279C4"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 </w:t>
      </w:r>
    </w:p>
    <w:p w14:paraId="6E864019"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Para </w:t>
      </w:r>
      <w:proofErr w:type="gramStart"/>
      <w:r w:rsidRPr="001B3E5C">
        <w:rPr>
          <w:rFonts w:ascii="Arial" w:hAnsi="Arial" w:cs="Arial"/>
          <w:sz w:val="24"/>
          <w:szCs w:val="24"/>
        </w:rPr>
        <w:t>mayor información</w:t>
      </w:r>
      <w:proofErr w:type="gramEnd"/>
      <w:r w:rsidRPr="001B3E5C">
        <w:rPr>
          <w:rFonts w:ascii="Arial" w:hAnsi="Arial" w:cs="Arial"/>
          <w:sz w:val="24"/>
          <w:szCs w:val="24"/>
        </w:rPr>
        <w:t xml:space="preserve"> respecto de las normas de administración de los empleados del sector público y demás temas competencia de este Departamento Administrativo, me permito indicar que en el </w:t>
      </w:r>
      <w:proofErr w:type="gramStart"/>
      <w:r w:rsidRPr="001B3E5C">
        <w:rPr>
          <w:rFonts w:ascii="Arial" w:hAnsi="Arial" w:cs="Arial"/>
          <w:sz w:val="24"/>
          <w:szCs w:val="24"/>
        </w:rPr>
        <w:t>link</w:t>
      </w:r>
      <w:proofErr w:type="gramEnd"/>
      <w:r w:rsidRPr="001B3E5C">
        <w:rPr>
          <w:rFonts w:ascii="Arial" w:hAnsi="Arial" w:cs="Arial"/>
          <w:sz w:val="24"/>
          <w:szCs w:val="24"/>
        </w:rPr>
        <w:t xml:space="preserve"> http://www.funcionpublica.gov.co/eva/es/gestor-normativo podrá encontrar conceptos relacionados con el tema, que han sido emitidos por esta Dirección Jurídica.</w:t>
      </w:r>
    </w:p>
    <w:p w14:paraId="0EAB823D" w14:textId="49E8C6DA" w:rsidR="001B3E5C" w:rsidRPr="001B3E5C" w:rsidRDefault="001B3E5C" w:rsidP="001B3E5C">
      <w:pPr>
        <w:jc w:val="both"/>
        <w:rPr>
          <w:rFonts w:ascii="Arial" w:hAnsi="Arial" w:cs="Arial"/>
          <w:sz w:val="24"/>
          <w:szCs w:val="24"/>
        </w:rPr>
      </w:pPr>
      <w:r w:rsidRPr="001B3E5C">
        <w:rPr>
          <w:rFonts w:ascii="Arial" w:hAnsi="Arial" w:cs="Arial"/>
          <w:sz w:val="24"/>
          <w:szCs w:val="24"/>
        </w:rPr>
        <w:lastRenderedPageBreak/>
        <w:t> El anterior concepto se emite en los términos establecidos en el artículo 28 del Código de Procedimiento Administrativo y de lo Contencioso Administrativo.</w:t>
      </w:r>
    </w:p>
    <w:p w14:paraId="52F77C7F" w14:textId="02217BF4" w:rsidR="001B3E5C" w:rsidRPr="001B3E5C" w:rsidRDefault="001B3E5C" w:rsidP="001B3E5C">
      <w:pPr>
        <w:jc w:val="both"/>
        <w:rPr>
          <w:rFonts w:ascii="Arial" w:hAnsi="Arial" w:cs="Arial"/>
          <w:sz w:val="24"/>
          <w:szCs w:val="24"/>
        </w:rPr>
      </w:pPr>
      <w:r w:rsidRPr="001B3E5C">
        <w:rPr>
          <w:rFonts w:ascii="Arial" w:hAnsi="Arial" w:cs="Arial"/>
          <w:sz w:val="24"/>
          <w:szCs w:val="24"/>
        </w:rPr>
        <w:t> Cordialmente,</w:t>
      </w:r>
    </w:p>
    <w:p w14:paraId="7B6FF5D7"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 </w:t>
      </w:r>
    </w:p>
    <w:p w14:paraId="113733EB" w14:textId="77777777" w:rsidR="001B3E5C" w:rsidRPr="001B3E5C" w:rsidRDefault="001B3E5C" w:rsidP="001B3E5C">
      <w:pPr>
        <w:jc w:val="both"/>
        <w:rPr>
          <w:rFonts w:ascii="Arial" w:hAnsi="Arial" w:cs="Arial"/>
          <w:sz w:val="24"/>
          <w:szCs w:val="24"/>
        </w:rPr>
      </w:pPr>
      <w:r w:rsidRPr="001B3E5C">
        <w:rPr>
          <w:rFonts w:ascii="Arial" w:hAnsi="Arial" w:cs="Arial"/>
          <w:b/>
          <w:bCs/>
          <w:sz w:val="24"/>
          <w:szCs w:val="24"/>
        </w:rPr>
        <w:t>HAROLD ISRAEL HERREÑO SUAREZ</w:t>
      </w:r>
    </w:p>
    <w:p w14:paraId="68A5F6A4" w14:textId="599D028D" w:rsidR="001B3E5C" w:rsidRPr="001B3E5C" w:rsidRDefault="001B3E5C" w:rsidP="001B3E5C">
      <w:pPr>
        <w:jc w:val="both"/>
        <w:rPr>
          <w:rFonts w:ascii="Arial" w:hAnsi="Arial" w:cs="Arial"/>
          <w:sz w:val="24"/>
          <w:szCs w:val="24"/>
        </w:rPr>
      </w:pPr>
      <w:r w:rsidRPr="001B3E5C">
        <w:rPr>
          <w:rFonts w:ascii="Arial" w:hAnsi="Arial" w:cs="Arial"/>
          <w:b/>
          <w:bCs/>
          <w:sz w:val="24"/>
          <w:szCs w:val="24"/>
        </w:rPr>
        <w:t> Coordinador de Grupo de Asesoría, Conceptos, y Relatoría Dirección Jurídica</w:t>
      </w:r>
    </w:p>
    <w:p w14:paraId="45E89ED4" w14:textId="7777BCEE" w:rsidR="001B3E5C" w:rsidRPr="001B3E5C" w:rsidRDefault="001B3E5C" w:rsidP="001B3E5C">
      <w:pPr>
        <w:jc w:val="both"/>
        <w:rPr>
          <w:rFonts w:ascii="Arial" w:hAnsi="Arial" w:cs="Arial"/>
          <w:sz w:val="24"/>
          <w:szCs w:val="24"/>
        </w:rPr>
      </w:pPr>
      <w:r w:rsidRPr="001B3E5C">
        <w:rPr>
          <w:rFonts w:ascii="Arial" w:hAnsi="Arial" w:cs="Arial"/>
          <w:sz w:val="24"/>
          <w:szCs w:val="24"/>
        </w:rPr>
        <w:t> Datos de quien Proyectó: Claudia Viviana Molina Barón</w:t>
      </w:r>
    </w:p>
    <w:p w14:paraId="1D6308C0" w14:textId="4797E1E8" w:rsidR="001B3E5C" w:rsidRPr="001B3E5C" w:rsidRDefault="001B3E5C" w:rsidP="001B3E5C">
      <w:pPr>
        <w:jc w:val="both"/>
        <w:rPr>
          <w:rFonts w:ascii="Arial" w:hAnsi="Arial" w:cs="Arial"/>
          <w:sz w:val="24"/>
          <w:szCs w:val="24"/>
        </w:rPr>
      </w:pPr>
      <w:r w:rsidRPr="001B3E5C">
        <w:rPr>
          <w:rFonts w:ascii="Arial" w:hAnsi="Arial" w:cs="Arial"/>
          <w:sz w:val="24"/>
          <w:szCs w:val="24"/>
        </w:rPr>
        <w:t> Datos de quien Revisó: N/A</w:t>
      </w:r>
    </w:p>
    <w:p w14:paraId="48868296" w14:textId="28C26D68" w:rsidR="001B3E5C" w:rsidRPr="001B3E5C" w:rsidRDefault="001B3E5C" w:rsidP="001B3E5C">
      <w:pPr>
        <w:jc w:val="both"/>
        <w:rPr>
          <w:rFonts w:ascii="Arial" w:hAnsi="Arial" w:cs="Arial"/>
          <w:sz w:val="24"/>
          <w:szCs w:val="24"/>
        </w:rPr>
      </w:pPr>
      <w:r w:rsidRPr="001B3E5C">
        <w:rPr>
          <w:rFonts w:ascii="Arial" w:hAnsi="Arial" w:cs="Arial"/>
          <w:sz w:val="24"/>
          <w:szCs w:val="24"/>
        </w:rPr>
        <w:t> Datos de </w:t>
      </w:r>
      <w:proofErr w:type="spellStart"/>
      <w:proofErr w:type="gramStart"/>
      <w:r w:rsidRPr="001B3E5C">
        <w:rPr>
          <w:rFonts w:ascii="Arial" w:hAnsi="Arial" w:cs="Arial"/>
          <w:sz w:val="24"/>
          <w:szCs w:val="24"/>
        </w:rPr>
        <w:t>Vo.Bo</w:t>
      </w:r>
      <w:proofErr w:type="spellEnd"/>
      <w:proofErr w:type="gramEnd"/>
      <w:r w:rsidRPr="001B3E5C">
        <w:rPr>
          <w:rFonts w:ascii="Arial" w:hAnsi="Arial" w:cs="Arial"/>
          <w:sz w:val="24"/>
          <w:szCs w:val="24"/>
        </w:rPr>
        <w:t>: Harold Israel Herreño Suarez - Dirección Jurídica</w:t>
      </w:r>
    </w:p>
    <w:p w14:paraId="75028D45" w14:textId="77777777" w:rsidR="001B3E5C" w:rsidRPr="001B3E5C" w:rsidRDefault="001B3E5C" w:rsidP="001B3E5C">
      <w:pPr>
        <w:jc w:val="both"/>
        <w:rPr>
          <w:rFonts w:ascii="Arial" w:hAnsi="Arial" w:cs="Arial"/>
          <w:sz w:val="24"/>
          <w:szCs w:val="24"/>
        </w:rPr>
      </w:pPr>
      <w:r w:rsidRPr="001B3E5C">
        <w:rPr>
          <w:rFonts w:ascii="Arial" w:hAnsi="Arial" w:cs="Arial"/>
          <w:sz w:val="24"/>
          <w:szCs w:val="24"/>
        </w:rPr>
        <w:t>Código TRD: 11602.8.4</w:t>
      </w:r>
    </w:p>
    <w:p w14:paraId="5B9B8F93" w14:textId="05F1E88A" w:rsidR="001B3E5C" w:rsidRPr="001B3E5C" w:rsidRDefault="001B3E5C" w:rsidP="001B3E5C">
      <w:pPr>
        <w:jc w:val="both"/>
        <w:rPr>
          <w:rFonts w:ascii="Arial" w:hAnsi="Arial" w:cs="Arial"/>
          <w:sz w:val="24"/>
          <w:szCs w:val="24"/>
        </w:rPr>
      </w:pPr>
      <w:r w:rsidRPr="001B3E5C">
        <w:rPr>
          <w:rFonts w:ascii="Arial" w:hAnsi="Arial" w:cs="Arial"/>
          <w:sz w:val="24"/>
          <w:szCs w:val="24"/>
        </w:rPr>
        <w:t> </w:t>
      </w:r>
      <w:r w:rsidRPr="001B3E5C">
        <w:rPr>
          <w:rFonts w:ascii="Arial" w:hAnsi="Arial" w:cs="Arial"/>
          <w:b/>
          <w:bCs/>
          <w:sz w:val="24"/>
          <w:szCs w:val="24"/>
        </w:rPr>
        <w:t>NOTAS DE PIE DE PÁGINA</w:t>
      </w:r>
    </w:p>
    <w:p w14:paraId="1B511B06" w14:textId="2C72ACAF"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 1 </w:t>
      </w:r>
      <w:proofErr w:type="gramStart"/>
      <w:r w:rsidRPr="001B3E5C">
        <w:rPr>
          <w:rFonts w:ascii="Arial" w:hAnsi="Arial" w:cs="Arial"/>
          <w:sz w:val="24"/>
          <w:szCs w:val="24"/>
        </w:rPr>
        <w:t>Por</w:t>
      </w:r>
      <w:proofErr w:type="gramEnd"/>
      <w:r w:rsidRPr="001B3E5C">
        <w:rPr>
          <w:rFonts w:ascii="Arial" w:hAnsi="Arial" w:cs="Arial"/>
          <w:sz w:val="24"/>
          <w:szCs w:val="24"/>
        </w:rPr>
        <w:t xml:space="preserve"> el cual se modifica la estructura del Departamento Administrativo de la Función Pública.</w:t>
      </w:r>
    </w:p>
    <w:p w14:paraId="706918A9" w14:textId="4657720B"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 2 </w:t>
      </w:r>
      <w:proofErr w:type="gramStart"/>
      <w:r w:rsidRPr="001B3E5C">
        <w:rPr>
          <w:rFonts w:ascii="Arial" w:hAnsi="Arial" w:cs="Arial"/>
          <w:sz w:val="24"/>
          <w:szCs w:val="24"/>
        </w:rPr>
        <w:t>Por</w:t>
      </w:r>
      <w:proofErr w:type="gramEnd"/>
      <w:r w:rsidRPr="001B3E5C">
        <w:rPr>
          <w:rFonts w:ascii="Arial" w:hAnsi="Arial" w:cs="Arial"/>
          <w:sz w:val="24"/>
          <w:szCs w:val="24"/>
        </w:rPr>
        <w:t xml:space="preserve"> el cual se expide el Estatuto General del Instituto Superior de Educación Rural, ISER, de Pamplona, Norte de Santander.</w:t>
      </w:r>
    </w:p>
    <w:p w14:paraId="68280F24" w14:textId="23BED9E1"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 3 </w:t>
      </w:r>
      <w:proofErr w:type="gramStart"/>
      <w:r w:rsidRPr="001B3E5C">
        <w:rPr>
          <w:rFonts w:ascii="Arial" w:hAnsi="Arial" w:cs="Arial"/>
          <w:sz w:val="24"/>
          <w:szCs w:val="24"/>
        </w:rPr>
        <w:t>Por</w:t>
      </w:r>
      <w:proofErr w:type="gramEnd"/>
      <w:r w:rsidRPr="001B3E5C">
        <w:rPr>
          <w:rFonts w:ascii="Arial" w:hAnsi="Arial" w:cs="Arial"/>
          <w:sz w:val="24"/>
          <w:szCs w:val="24"/>
        </w:rPr>
        <w:t xml:space="preserve"> el cual se aprueba el Acuerdo 01 del 27 de febrero de 1989, expedido por el Consejo Superior del Instituto Superior de Educación Rural sobre adopción del Estatuto General de esa Institución.</w:t>
      </w:r>
    </w:p>
    <w:p w14:paraId="3251AD1F" w14:textId="6BB943F5"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 4 </w:t>
      </w:r>
      <w:proofErr w:type="gramStart"/>
      <w:r w:rsidRPr="001B3E5C">
        <w:rPr>
          <w:rFonts w:ascii="Arial" w:hAnsi="Arial" w:cs="Arial"/>
          <w:sz w:val="24"/>
          <w:szCs w:val="24"/>
        </w:rPr>
        <w:t>Por</w:t>
      </w:r>
      <w:proofErr w:type="gramEnd"/>
      <w:r w:rsidRPr="001B3E5C">
        <w:rPr>
          <w:rFonts w:ascii="Arial" w:hAnsi="Arial" w:cs="Arial"/>
          <w:sz w:val="24"/>
          <w:szCs w:val="24"/>
        </w:rPr>
        <w:t xml:space="preserve">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68AFEB2E" w14:textId="3D710930"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 5 </w:t>
      </w:r>
      <w:proofErr w:type="gramStart"/>
      <w:r w:rsidRPr="001B3E5C">
        <w:rPr>
          <w:rFonts w:ascii="Arial" w:hAnsi="Arial" w:cs="Arial"/>
          <w:sz w:val="24"/>
          <w:szCs w:val="24"/>
        </w:rPr>
        <w:t>Por</w:t>
      </w:r>
      <w:proofErr w:type="gramEnd"/>
      <w:r w:rsidRPr="001B3E5C">
        <w:rPr>
          <w:rFonts w:ascii="Arial" w:hAnsi="Arial" w:cs="Arial"/>
          <w:sz w:val="24"/>
          <w:szCs w:val="24"/>
        </w:rPr>
        <w:t xml:space="preserve"> medio de la cual se reglamenta la elección de </w:t>
      </w:r>
      <w:proofErr w:type="gramStart"/>
      <w:r w:rsidRPr="001B3E5C">
        <w:rPr>
          <w:rFonts w:ascii="Arial" w:hAnsi="Arial" w:cs="Arial"/>
          <w:sz w:val="24"/>
          <w:szCs w:val="24"/>
        </w:rPr>
        <w:t>Presidente</w:t>
      </w:r>
      <w:proofErr w:type="gramEnd"/>
      <w:r w:rsidRPr="001B3E5C">
        <w:rPr>
          <w:rFonts w:ascii="Arial" w:hAnsi="Arial" w:cs="Arial"/>
          <w:sz w:val="24"/>
          <w:szCs w:val="24"/>
        </w:rPr>
        <w:t xml:space="preserve"> de la República, de conformidad con el artículo 152 literal f) de la Constitución Política de Colombia, y de acuerdo con lo establecido en el Acto Legislativo 02 de 2004, y se dictan otras disposiciones.</w:t>
      </w:r>
    </w:p>
    <w:p w14:paraId="3131ED0D" w14:textId="77777777" w:rsidR="001B3E5C" w:rsidRDefault="001B3E5C" w:rsidP="001B3E5C">
      <w:pPr>
        <w:jc w:val="both"/>
        <w:rPr>
          <w:rFonts w:ascii="Arial" w:hAnsi="Arial" w:cs="Arial"/>
          <w:sz w:val="24"/>
          <w:szCs w:val="24"/>
        </w:rPr>
      </w:pPr>
      <w:r w:rsidRPr="001B3E5C">
        <w:rPr>
          <w:rFonts w:ascii="Arial" w:hAnsi="Arial" w:cs="Arial"/>
          <w:sz w:val="24"/>
          <w:szCs w:val="24"/>
        </w:rPr>
        <w:t> </w:t>
      </w:r>
    </w:p>
    <w:p w14:paraId="6FB78556" w14:textId="77777777" w:rsidR="001B3E5C" w:rsidRDefault="001B3E5C" w:rsidP="001B3E5C">
      <w:pPr>
        <w:jc w:val="both"/>
        <w:rPr>
          <w:rFonts w:ascii="Arial" w:hAnsi="Arial" w:cs="Arial"/>
          <w:sz w:val="24"/>
          <w:szCs w:val="24"/>
        </w:rPr>
      </w:pPr>
    </w:p>
    <w:p w14:paraId="48D85F1C" w14:textId="635FDD3E" w:rsidR="001B3E5C" w:rsidRPr="001B3E5C" w:rsidRDefault="001B3E5C" w:rsidP="001B3E5C">
      <w:pPr>
        <w:jc w:val="both"/>
        <w:rPr>
          <w:rFonts w:ascii="Arial" w:hAnsi="Arial" w:cs="Arial"/>
          <w:sz w:val="24"/>
          <w:szCs w:val="24"/>
        </w:rPr>
      </w:pPr>
      <w:r w:rsidRPr="001B3E5C">
        <w:rPr>
          <w:rFonts w:ascii="Arial" w:hAnsi="Arial" w:cs="Arial"/>
          <w:sz w:val="24"/>
          <w:szCs w:val="24"/>
        </w:rPr>
        <w:t>6 </w:t>
      </w:r>
      <w:hyperlink r:id="rId24" w:history="1">
        <w:r w:rsidRPr="001B3E5C">
          <w:rPr>
            <w:rStyle w:val="Hipervnculo"/>
            <w:rFonts w:ascii="Arial" w:hAnsi="Arial" w:cs="Arial"/>
            <w:sz w:val="24"/>
            <w:szCs w:val="24"/>
          </w:rPr>
          <w:t>https://www.funcionpublica.gov.co/eva/gestornormativo/norma.php?i=267038</w:t>
        </w:r>
      </w:hyperlink>
    </w:p>
    <w:p w14:paraId="4ADDE2D0" w14:textId="6E833112" w:rsidR="001B3E5C" w:rsidRPr="001B3E5C" w:rsidRDefault="001B3E5C" w:rsidP="001B3E5C">
      <w:pPr>
        <w:jc w:val="both"/>
        <w:rPr>
          <w:rFonts w:ascii="Arial" w:hAnsi="Arial" w:cs="Arial"/>
          <w:sz w:val="24"/>
          <w:szCs w:val="24"/>
        </w:rPr>
      </w:pPr>
      <w:r w:rsidRPr="001B3E5C">
        <w:rPr>
          <w:rFonts w:ascii="Arial" w:hAnsi="Arial" w:cs="Arial"/>
          <w:sz w:val="24"/>
          <w:szCs w:val="24"/>
        </w:rPr>
        <w:t xml:space="preserve"> 7 </w:t>
      </w:r>
      <w:proofErr w:type="gramStart"/>
      <w:r w:rsidRPr="001B3E5C">
        <w:rPr>
          <w:rFonts w:ascii="Arial" w:hAnsi="Arial" w:cs="Arial"/>
          <w:sz w:val="24"/>
          <w:szCs w:val="24"/>
        </w:rPr>
        <w:t>Por</w:t>
      </w:r>
      <w:proofErr w:type="gramEnd"/>
      <w:r w:rsidRPr="001B3E5C">
        <w:rPr>
          <w:rFonts w:ascii="Arial" w:hAnsi="Arial" w:cs="Arial"/>
          <w:sz w:val="24"/>
          <w:szCs w:val="24"/>
        </w:rPr>
        <w:t xml:space="preserve"> medio del cual se expide el Decreto Único Reglamentario del Sector de Función Pública.</w:t>
      </w:r>
    </w:p>
    <w:p w14:paraId="2BD68846" w14:textId="77777777" w:rsidR="001B3E5C" w:rsidRPr="001B3E5C" w:rsidRDefault="001B3E5C" w:rsidP="001B3E5C">
      <w:pPr>
        <w:jc w:val="both"/>
        <w:rPr>
          <w:rFonts w:ascii="Arial" w:hAnsi="Arial" w:cs="Arial"/>
          <w:sz w:val="24"/>
          <w:szCs w:val="24"/>
        </w:rPr>
      </w:pPr>
    </w:p>
    <w:sectPr w:rsidR="001B3E5C" w:rsidRPr="001B3E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5C"/>
    <w:rsid w:val="001B3E5C"/>
    <w:rsid w:val="0029614A"/>
    <w:rsid w:val="00F955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A162"/>
  <w15:chartTrackingRefBased/>
  <w15:docId w15:val="{A4DBA07E-55FE-4941-9B1D-294C4106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3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3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3E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3E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3E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3E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3E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3E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3E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E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3E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3E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3E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3E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3E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3E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3E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3E5C"/>
    <w:rPr>
      <w:rFonts w:eastAsiaTheme="majorEastAsia" w:cstheme="majorBidi"/>
      <w:color w:val="272727" w:themeColor="text1" w:themeTint="D8"/>
    </w:rPr>
  </w:style>
  <w:style w:type="paragraph" w:styleId="Ttulo">
    <w:name w:val="Title"/>
    <w:basedOn w:val="Normal"/>
    <w:next w:val="Normal"/>
    <w:link w:val="TtuloCar"/>
    <w:uiPriority w:val="10"/>
    <w:qFormat/>
    <w:rsid w:val="001B3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3E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3E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3E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3E5C"/>
    <w:pPr>
      <w:spacing w:before="160"/>
      <w:jc w:val="center"/>
    </w:pPr>
    <w:rPr>
      <w:i/>
      <w:iCs/>
      <w:color w:val="404040" w:themeColor="text1" w:themeTint="BF"/>
    </w:rPr>
  </w:style>
  <w:style w:type="character" w:customStyle="1" w:styleId="CitaCar">
    <w:name w:val="Cita Car"/>
    <w:basedOn w:val="Fuentedeprrafopredeter"/>
    <w:link w:val="Cita"/>
    <w:uiPriority w:val="29"/>
    <w:rsid w:val="001B3E5C"/>
    <w:rPr>
      <w:i/>
      <w:iCs/>
      <w:color w:val="404040" w:themeColor="text1" w:themeTint="BF"/>
    </w:rPr>
  </w:style>
  <w:style w:type="paragraph" w:styleId="Prrafodelista">
    <w:name w:val="List Paragraph"/>
    <w:basedOn w:val="Normal"/>
    <w:uiPriority w:val="34"/>
    <w:qFormat/>
    <w:rsid w:val="001B3E5C"/>
    <w:pPr>
      <w:ind w:left="720"/>
      <w:contextualSpacing/>
    </w:pPr>
  </w:style>
  <w:style w:type="character" w:styleId="nfasisintenso">
    <w:name w:val="Intense Emphasis"/>
    <w:basedOn w:val="Fuentedeprrafopredeter"/>
    <w:uiPriority w:val="21"/>
    <w:qFormat/>
    <w:rsid w:val="001B3E5C"/>
    <w:rPr>
      <w:i/>
      <w:iCs/>
      <w:color w:val="0F4761" w:themeColor="accent1" w:themeShade="BF"/>
    </w:rPr>
  </w:style>
  <w:style w:type="paragraph" w:styleId="Citadestacada">
    <w:name w:val="Intense Quote"/>
    <w:basedOn w:val="Normal"/>
    <w:next w:val="Normal"/>
    <w:link w:val="CitadestacadaCar"/>
    <w:uiPriority w:val="30"/>
    <w:qFormat/>
    <w:rsid w:val="001B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3E5C"/>
    <w:rPr>
      <w:i/>
      <w:iCs/>
      <w:color w:val="0F4761" w:themeColor="accent1" w:themeShade="BF"/>
    </w:rPr>
  </w:style>
  <w:style w:type="character" w:styleId="Referenciaintensa">
    <w:name w:val="Intense Reference"/>
    <w:basedOn w:val="Fuentedeprrafopredeter"/>
    <w:uiPriority w:val="32"/>
    <w:qFormat/>
    <w:rsid w:val="001B3E5C"/>
    <w:rPr>
      <w:b/>
      <w:bCs/>
      <w:smallCaps/>
      <w:color w:val="0F4761" w:themeColor="accent1" w:themeShade="BF"/>
      <w:spacing w:val="5"/>
    </w:rPr>
  </w:style>
  <w:style w:type="character" w:styleId="Hipervnculo">
    <w:name w:val="Hyperlink"/>
    <w:basedOn w:val="Fuentedeprrafopredeter"/>
    <w:uiPriority w:val="99"/>
    <w:unhideWhenUsed/>
    <w:rsid w:val="001B3E5C"/>
    <w:rPr>
      <w:color w:val="467886" w:themeColor="hyperlink"/>
      <w:u w:val="single"/>
    </w:rPr>
  </w:style>
  <w:style w:type="character" w:styleId="Mencinsinresolver">
    <w:name w:val="Unresolved Mention"/>
    <w:basedOn w:val="Fuentedeprrafopredeter"/>
    <w:uiPriority w:val="99"/>
    <w:semiHidden/>
    <w:unhideWhenUsed/>
    <w:rsid w:val="001B3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45418" TargetMode="External"/><Relationship Id="rId13" Type="http://schemas.openxmlformats.org/officeDocument/2006/relationships/hyperlink" Target="https://www.funcionpublica.gov.co/eva/gestornormativo/norma.php?i=18232" TargetMode="External"/><Relationship Id="rId18" Type="http://schemas.openxmlformats.org/officeDocument/2006/relationships/hyperlink" Target="https://www.funcionpublica.gov.co/eva/gestornormativo/norma.php?i=18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funcionpublica.gov.co/eva/gestornormativo/norma.php?i=18232" TargetMode="External"/><Relationship Id="rId7" Type="http://schemas.openxmlformats.org/officeDocument/2006/relationships/hyperlink" Target="https://www.funcionpublica.gov.co/eva/gestornormativo/norma.php?i=145418" TargetMode="External"/><Relationship Id="rId12" Type="http://schemas.openxmlformats.org/officeDocument/2006/relationships/hyperlink" Target="https://www.funcionpublica.gov.co/eva/gestornormativo/norma.php?i=18232" TargetMode="External"/><Relationship Id="rId17" Type="http://schemas.openxmlformats.org/officeDocument/2006/relationships/hyperlink" Target="https://www.funcionpublica.gov.co/eva/gestornormativo/norma.php?i=6644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uncionpublica.gov.co/eva/gestornormativo/norma.php?i=18232" TargetMode="External"/><Relationship Id="rId20" Type="http://schemas.openxmlformats.org/officeDocument/2006/relationships/hyperlink" Target="https://www.funcionpublica.gov.co/eva/gestornormativo/norma.php?i=18232" TargetMode="External"/><Relationship Id="rId1" Type="http://schemas.openxmlformats.org/officeDocument/2006/relationships/styles" Target="styles.xml"/><Relationship Id="rId6" Type="http://schemas.openxmlformats.org/officeDocument/2006/relationships/hyperlink" Target="https://www.funcionpublica.gov.co/eva/gestornormativo/norma.php?i=253" TargetMode="External"/><Relationship Id="rId11" Type="http://schemas.openxmlformats.org/officeDocument/2006/relationships/hyperlink" Target="https://www.funcionpublica.gov.co/eva/gestornormativo/norma.php?i=186" TargetMode="External"/><Relationship Id="rId24" Type="http://schemas.openxmlformats.org/officeDocument/2006/relationships/hyperlink" Target="https://www.funcionpublica.gov.co/eva/gestornormativo/norma.php?i=267038" TargetMode="External"/><Relationship Id="rId5" Type="http://schemas.openxmlformats.org/officeDocument/2006/relationships/hyperlink" Target="https://www.funcionpublica.gov.co/eva/gestornormativo/norma.php?i=253" TargetMode="External"/><Relationship Id="rId15" Type="http://schemas.openxmlformats.org/officeDocument/2006/relationships/hyperlink" Target="https://www.funcionpublica.gov.co/eva/gestornormativo/norma.php?i=18232" TargetMode="External"/><Relationship Id="rId23" Type="http://schemas.openxmlformats.org/officeDocument/2006/relationships/hyperlink" Target="https://www.funcionpublica.gov.co/eva/gestornormativo/norma.php?i=62866" TargetMode="External"/><Relationship Id="rId10" Type="http://schemas.openxmlformats.org/officeDocument/2006/relationships/hyperlink" Target="https://www.funcionpublica.gov.co/eva/gestornormativo/norma.php?i=186" TargetMode="External"/><Relationship Id="rId19" Type="http://schemas.openxmlformats.org/officeDocument/2006/relationships/hyperlink" Target="https://www.funcionpublica.gov.co/eva/gestornormativo/norma.php?i=186" TargetMode="External"/><Relationship Id="rId4" Type="http://schemas.openxmlformats.org/officeDocument/2006/relationships/hyperlink" Target="https://www.funcionpublica.gov.co/eva/gestornormativo/norma.php?i=253" TargetMode="External"/><Relationship Id="rId9" Type="http://schemas.openxmlformats.org/officeDocument/2006/relationships/hyperlink" Target="https://www.funcionpublica.gov.co/eva/gestornormativo/norma.php?i=186" TargetMode="External"/><Relationship Id="rId14" Type="http://schemas.openxmlformats.org/officeDocument/2006/relationships/hyperlink" Target="https://www.funcionpublica.gov.co/eva/gestornormativo/norma.php?i=18232" TargetMode="External"/><Relationship Id="rId22" Type="http://schemas.openxmlformats.org/officeDocument/2006/relationships/hyperlink" Target="https://www.funcionpublica.gov.co/eva/gestornormativo/norma.php?i=628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3042</Words>
  <Characters>22150</Characters>
  <Application>Microsoft Office Word</Application>
  <DocSecurity>0</DocSecurity>
  <Lines>886</Lines>
  <Paragraphs>968</Paragraphs>
  <ScaleCrop>false</ScaleCrop>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1</cp:revision>
  <dcterms:created xsi:type="dcterms:W3CDTF">2026-03-18T14:22:00Z</dcterms:created>
  <dcterms:modified xsi:type="dcterms:W3CDTF">2026-03-18T14:29:00Z</dcterms:modified>
</cp:coreProperties>
</file>